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9EC" w:rsidRPr="007C4A60" w:rsidRDefault="00FD52C3" w:rsidP="007C4A60">
      <w:pPr>
        <w:pStyle w:val="Title"/>
        <w:spacing w:after="120"/>
        <w:rPr>
          <w:rFonts w:asciiTheme="majorHAnsi" w:hAnsiTheme="majorHAnsi"/>
          <w:sz w:val="28"/>
          <w:szCs w:val="28"/>
        </w:rPr>
      </w:pPr>
      <w:r w:rsidRPr="007C4A60">
        <w:rPr>
          <w:rFonts w:asciiTheme="majorHAnsi" w:hAnsiTheme="majorHAnsi"/>
          <w:sz w:val="28"/>
          <w:szCs w:val="28"/>
        </w:rPr>
        <w:t>BENEFITS OF CALCUL</w:t>
      </w:r>
      <w:r w:rsidR="0094099D" w:rsidRPr="007C4A60">
        <w:rPr>
          <w:rFonts w:asciiTheme="majorHAnsi" w:hAnsiTheme="majorHAnsi"/>
          <w:sz w:val="28"/>
          <w:szCs w:val="28"/>
        </w:rPr>
        <w:t>ATING AND COMMUNICATING TO GPs A DRUG BURDEN INDEX (DBI) IN ELDERLY PATIENTS DISCHARGED FROM THE EMERGENCY DEPARTMENT (ED) – A PILOT STUDY</w:t>
      </w:r>
    </w:p>
    <w:p w:rsidR="00830231" w:rsidRPr="00FE720D" w:rsidRDefault="00830231" w:rsidP="005A6F21">
      <w:pPr>
        <w:autoSpaceDE w:val="0"/>
        <w:autoSpaceDN w:val="0"/>
        <w:adjustRightInd w:val="0"/>
        <w:spacing w:after="120" w:line="240" w:lineRule="auto"/>
        <w:jc w:val="center"/>
        <w:rPr>
          <w:rFonts w:ascii="Calibri,Bold" w:hAnsi="Calibri,Bold" w:cs="Calibri,Bold"/>
          <w:b/>
          <w:bCs/>
          <w:color w:val="000000"/>
          <w:highlight w:val="yellow"/>
        </w:rPr>
      </w:pPr>
    </w:p>
    <w:p w:rsidR="00830231" w:rsidRPr="00FE720D" w:rsidRDefault="00830231" w:rsidP="005A6F21">
      <w:pPr>
        <w:autoSpaceDE w:val="0"/>
        <w:autoSpaceDN w:val="0"/>
        <w:adjustRightInd w:val="0"/>
        <w:spacing w:after="120" w:line="240" w:lineRule="auto"/>
        <w:jc w:val="center"/>
        <w:rPr>
          <w:rFonts w:ascii="Calibri,Bold" w:hAnsi="Calibri,Bold" w:cs="Calibri,Bold"/>
          <w:b/>
          <w:bCs/>
          <w:color w:val="000000"/>
        </w:rPr>
      </w:pPr>
    </w:p>
    <w:p w:rsidR="007D29EC" w:rsidRPr="00FE720D" w:rsidRDefault="007D29EC" w:rsidP="005A6F21">
      <w:pPr>
        <w:autoSpaceDE w:val="0"/>
        <w:autoSpaceDN w:val="0"/>
        <w:adjustRightInd w:val="0"/>
        <w:spacing w:after="120" w:line="240" w:lineRule="auto"/>
        <w:jc w:val="center"/>
        <w:rPr>
          <w:rFonts w:ascii="Calibri,Bold" w:hAnsi="Calibri,Bold" w:cs="Calibri,Bold"/>
          <w:b/>
          <w:bCs/>
          <w:color w:val="000000"/>
        </w:rPr>
      </w:pPr>
      <w:r w:rsidRPr="00FE720D">
        <w:rPr>
          <w:rFonts w:ascii="Calibri,Bold" w:hAnsi="Calibri,Bold" w:cs="Calibri,Bold"/>
          <w:b/>
          <w:bCs/>
          <w:color w:val="000000"/>
        </w:rPr>
        <w:t>CONFIDENTIAL</w:t>
      </w:r>
    </w:p>
    <w:p w:rsidR="007D29EC" w:rsidRPr="00FE720D" w:rsidRDefault="007D29EC" w:rsidP="005A6F21">
      <w:pPr>
        <w:autoSpaceDE w:val="0"/>
        <w:autoSpaceDN w:val="0"/>
        <w:adjustRightInd w:val="0"/>
        <w:spacing w:after="120" w:line="240" w:lineRule="auto"/>
        <w:jc w:val="center"/>
        <w:rPr>
          <w:rFonts w:ascii="Calibri" w:hAnsi="Calibri" w:cs="Calibri"/>
          <w:color w:val="000000"/>
        </w:rPr>
      </w:pPr>
    </w:p>
    <w:p w:rsidR="00FD52C3" w:rsidRPr="00FD52C3" w:rsidRDefault="007D29EC" w:rsidP="005A6F21">
      <w:pPr>
        <w:spacing w:after="120" w:line="240" w:lineRule="auto"/>
        <w:rPr>
          <w:b/>
        </w:rPr>
      </w:pPr>
      <w:r w:rsidRPr="00B11E54">
        <w:t>This document is confidential and the property</w:t>
      </w:r>
      <w:r w:rsidR="00FD52C3">
        <w:t xml:space="preserve"> of</w:t>
      </w:r>
      <w:r w:rsidR="00C632D1" w:rsidRPr="00B11E54">
        <w:t xml:space="preserve"> </w:t>
      </w:r>
      <w:r w:rsidR="00FD52C3">
        <w:t xml:space="preserve">the </w:t>
      </w:r>
      <w:r w:rsidR="00FD52C3" w:rsidRPr="00FD52C3">
        <w:rPr>
          <w:b/>
        </w:rPr>
        <w:t>Emergency Department, Royal North Shore Hospital</w:t>
      </w:r>
    </w:p>
    <w:p w:rsidR="007D29EC" w:rsidRPr="00FE720D" w:rsidRDefault="007D29EC" w:rsidP="005A6F21">
      <w:pPr>
        <w:spacing w:after="120" w:line="240" w:lineRule="auto"/>
      </w:pPr>
      <w:r w:rsidRPr="00FE720D">
        <w:t>No part of it may be transmitted, reproduced, published, or used without prior written</w:t>
      </w:r>
      <w:r w:rsidR="00FE720D" w:rsidRPr="00FE720D">
        <w:t xml:space="preserve"> </w:t>
      </w:r>
      <w:r w:rsidRPr="00FE720D">
        <w:t>authori</w:t>
      </w:r>
      <w:r w:rsidR="00303C9D" w:rsidRPr="00FE720D">
        <w:t>s</w:t>
      </w:r>
      <w:r w:rsidRPr="00FE720D">
        <w:t xml:space="preserve">ation from the </w:t>
      </w:r>
      <w:r w:rsidR="00FE720D" w:rsidRPr="00FE720D">
        <w:t>I</w:t>
      </w:r>
      <w:r w:rsidRPr="00FE720D">
        <w:t>nstitution.</w:t>
      </w:r>
    </w:p>
    <w:p w:rsidR="007D29EC" w:rsidRPr="00FE720D" w:rsidRDefault="007D29EC" w:rsidP="005A6F21">
      <w:pPr>
        <w:autoSpaceDE w:val="0"/>
        <w:autoSpaceDN w:val="0"/>
        <w:adjustRightInd w:val="0"/>
        <w:spacing w:after="120" w:line="240" w:lineRule="auto"/>
        <w:jc w:val="center"/>
        <w:rPr>
          <w:rFonts w:ascii="Calibri,Bold" w:hAnsi="Calibri,Bold" w:cs="Calibri,Bold"/>
          <w:b/>
          <w:bCs/>
        </w:rPr>
      </w:pPr>
    </w:p>
    <w:p w:rsidR="007D29EC" w:rsidRPr="00FE720D" w:rsidRDefault="007D29EC" w:rsidP="005A6F21">
      <w:pPr>
        <w:autoSpaceDE w:val="0"/>
        <w:autoSpaceDN w:val="0"/>
        <w:adjustRightInd w:val="0"/>
        <w:spacing w:after="120" w:line="240" w:lineRule="auto"/>
        <w:jc w:val="center"/>
        <w:rPr>
          <w:rFonts w:ascii="Calibri,Bold" w:hAnsi="Calibri,Bold" w:cs="Calibri,Bold"/>
          <w:b/>
          <w:bCs/>
        </w:rPr>
      </w:pPr>
      <w:r w:rsidRPr="00FE720D">
        <w:rPr>
          <w:rFonts w:ascii="Calibri,Bold" w:hAnsi="Calibri,Bold" w:cs="Calibri,Bold"/>
          <w:b/>
          <w:bCs/>
        </w:rPr>
        <w:t>STATEMENT OF COMPLIANCE</w:t>
      </w:r>
    </w:p>
    <w:p w:rsidR="00FE720D" w:rsidRPr="00FE720D" w:rsidRDefault="007D29EC" w:rsidP="005A6F21">
      <w:pPr>
        <w:spacing w:after="120" w:line="240" w:lineRule="auto"/>
      </w:pPr>
      <w:r w:rsidRPr="00FE720D">
        <w:t>This document is a protocol for a clinical research study. The study will be conducted in</w:t>
      </w:r>
      <w:r w:rsidR="00FE720D" w:rsidRPr="00FE720D">
        <w:t xml:space="preserve"> </w:t>
      </w:r>
      <w:r w:rsidRPr="00FE720D">
        <w:t>compliance with all stipulations of this protocol, the conditions of ethics committee</w:t>
      </w:r>
      <w:r w:rsidR="00FE720D" w:rsidRPr="00FE720D">
        <w:t xml:space="preserve"> </w:t>
      </w:r>
      <w:r w:rsidRPr="00FE720D">
        <w:t>approval, the NHMRC National Statement on Ethical Conduct in Human Research (2007) and</w:t>
      </w:r>
      <w:r w:rsidR="00FE720D" w:rsidRPr="00FE720D">
        <w:t xml:space="preserve"> </w:t>
      </w:r>
      <w:r w:rsidRPr="00FE720D">
        <w:t>the Note for Guidance on Good Clin</w:t>
      </w:r>
      <w:r w:rsidR="00FE720D" w:rsidRPr="00FE720D">
        <w:t>ical Practice (CPMP/ICH-135/95)</w:t>
      </w:r>
    </w:p>
    <w:p w:rsidR="00FE720D" w:rsidRDefault="00FE720D" w:rsidP="005A6F21">
      <w:pPr>
        <w:autoSpaceDE w:val="0"/>
        <w:autoSpaceDN w:val="0"/>
        <w:adjustRightInd w:val="0"/>
        <w:spacing w:after="120" w:line="240" w:lineRule="auto"/>
        <w:rPr>
          <w:rFonts w:ascii="Calibri" w:hAnsi="Calibri" w:cs="Calibri"/>
          <w:color w:val="000000"/>
        </w:rPr>
      </w:pPr>
    </w:p>
    <w:p w:rsidR="00FE720D" w:rsidRPr="00FE720D" w:rsidRDefault="00FE720D" w:rsidP="005A6F21">
      <w:pPr>
        <w:autoSpaceDE w:val="0"/>
        <w:autoSpaceDN w:val="0"/>
        <w:adjustRightInd w:val="0"/>
        <w:spacing w:after="120" w:line="240" w:lineRule="auto"/>
        <w:jc w:val="center"/>
        <w:rPr>
          <w:rFonts w:ascii="Calibri" w:hAnsi="Calibri" w:cs="Calibri"/>
          <w:b/>
          <w:color w:val="FF0000"/>
          <w:sz w:val="28"/>
          <w:szCs w:val="28"/>
        </w:rPr>
      </w:pPr>
    </w:p>
    <w:p w:rsidR="00FE720D" w:rsidRDefault="00FE720D" w:rsidP="005A6F21">
      <w:pPr>
        <w:spacing w:after="120" w:line="240" w:lineRule="auto"/>
      </w:pPr>
    </w:p>
    <w:p w:rsidR="00FE720D" w:rsidRPr="00FE720D" w:rsidRDefault="00FE720D" w:rsidP="005A6F21">
      <w:pPr>
        <w:spacing w:after="120" w:line="240" w:lineRule="auto"/>
        <w:rPr>
          <w:rFonts w:ascii="Calibri,Bold" w:hAnsi="Calibri,Bold" w:cs="Calibri,Bold"/>
          <w:b/>
          <w:bCs/>
          <w:color w:val="000000"/>
        </w:rPr>
      </w:pPr>
      <w:r w:rsidRPr="00FE720D">
        <w:rPr>
          <w:rFonts w:ascii="Calibri,Bold" w:hAnsi="Calibri,Bold" w:cs="Calibri,Bold"/>
          <w:b/>
          <w:bCs/>
          <w:color w:val="000000"/>
        </w:rPr>
        <w:br w:type="page"/>
      </w:r>
    </w:p>
    <w:p w:rsidR="007D29EC" w:rsidRDefault="007D29EC" w:rsidP="005A6F21">
      <w:pPr>
        <w:autoSpaceDE w:val="0"/>
        <w:autoSpaceDN w:val="0"/>
        <w:adjustRightInd w:val="0"/>
        <w:spacing w:after="120" w:line="240" w:lineRule="auto"/>
        <w:rPr>
          <w:rFonts w:ascii="Calibri,Bold" w:hAnsi="Calibri,Bold" w:cs="Calibri,Bold"/>
          <w:b/>
          <w:bCs/>
          <w:color w:val="000000"/>
        </w:rPr>
      </w:pPr>
    </w:p>
    <w:p w:rsidR="008A2155" w:rsidRDefault="008A2155" w:rsidP="005A6F21">
      <w:pPr>
        <w:autoSpaceDE w:val="0"/>
        <w:autoSpaceDN w:val="0"/>
        <w:adjustRightInd w:val="0"/>
        <w:spacing w:after="120" w:line="240" w:lineRule="auto"/>
        <w:rPr>
          <w:rFonts w:ascii="Calibri,Bold" w:hAnsi="Calibri,Bold" w:cs="Calibri,Bold"/>
          <w:b/>
          <w:bCs/>
          <w:color w:val="000000"/>
        </w:rPr>
      </w:pPr>
    </w:p>
    <w:p w:rsidR="008A2155" w:rsidRPr="00FE720D" w:rsidRDefault="008A2155" w:rsidP="005A6F21">
      <w:pPr>
        <w:autoSpaceDE w:val="0"/>
        <w:autoSpaceDN w:val="0"/>
        <w:adjustRightInd w:val="0"/>
        <w:spacing w:after="120" w:line="240" w:lineRule="auto"/>
        <w:rPr>
          <w:rFonts w:ascii="Calibri,Bold" w:hAnsi="Calibri,Bold" w:cs="Calibri,Bold"/>
          <w:b/>
          <w:bCs/>
          <w:color w:val="000000"/>
        </w:rPr>
      </w:pPr>
    </w:p>
    <w:p w:rsidR="007D29EC" w:rsidRPr="00FE720D" w:rsidRDefault="007D29EC" w:rsidP="005A6F21">
      <w:pPr>
        <w:autoSpaceDE w:val="0"/>
        <w:autoSpaceDN w:val="0"/>
        <w:adjustRightInd w:val="0"/>
        <w:spacing w:after="120" w:line="240" w:lineRule="auto"/>
        <w:rPr>
          <w:rFonts w:ascii="Calibri,Bold" w:hAnsi="Calibri,Bold" w:cs="Calibri,Bold"/>
          <w:b/>
          <w:bCs/>
          <w:color w:val="000000"/>
        </w:rPr>
      </w:pPr>
      <w:r w:rsidRPr="00FE720D">
        <w:rPr>
          <w:rFonts w:ascii="Calibri,Bold" w:hAnsi="Calibri,Bold" w:cs="Calibri,Bold"/>
          <w:b/>
          <w:bCs/>
          <w:color w:val="000000"/>
        </w:rPr>
        <w:t>PROTOCOL SYNOPSIS</w:t>
      </w:r>
    </w:p>
    <w:p w:rsidR="00FE720D" w:rsidRPr="00FE720D" w:rsidRDefault="00FE720D" w:rsidP="005A6F21">
      <w:pPr>
        <w:autoSpaceDE w:val="0"/>
        <w:autoSpaceDN w:val="0"/>
        <w:adjustRightInd w:val="0"/>
        <w:spacing w:after="120" w:line="240" w:lineRule="auto"/>
        <w:rPr>
          <w:rFonts w:ascii="Calibri,Bold" w:hAnsi="Calibri,Bold" w:cs="Calibri,Bold"/>
          <w:bCs/>
          <w:color w:val="000000"/>
        </w:rPr>
      </w:pPr>
    </w:p>
    <w:tbl>
      <w:tblPr>
        <w:tblStyle w:val="TableGrid"/>
        <w:tblW w:w="0" w:type="auto"/>
        <w:tblLook w:val="04A0" w:firstRow="1" w:lastRow="0" w:firstColumn="1" w:lastColumn="0" w:noHBand="0" w:noVBand="1"/>
      </w:tblPr>
      <w:tblGrid>
        <w:gridCol w:w="2802"/>
        <w:gridCol w:w="6440"/>
      </w:tblGrid>
      <w:tr w:rsidR="00C632D1" w:rsidRPr="00E913DD" w:rsidTr="00A67C5F">
        <w:tc>
          <w:tcPr>
            <w:tcW w:w="2802" w:type="dxa"/>
          </w:tcPr>
          <w:p w:rsidR="00C632D1" w:rsidRPr="00E913DD" w:rsidRDefault="00C632D1"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Title</w:t>
            </w:r>
          </w:p>
        </w:tc>
        <w:tc>
          <w:tcPr>
            <w:tcW w:w="6440" w:type="dxa"/>
          </w:tcPr>
          <w:p w:rsidR="00C632D1" w:rsidRPr="00E913DD" w:rsidRDefault="0094099D" w:rsidP="00E913DD">
            <w:pPr>
              <w:autoSpaceDE w:val="0"/>
              <w:autoSpaceDN w:val="0"/>
              <w:adjustRightInd w:val="0"/>
              <w:spacing w:after="120" w:line="276" w:lineRule="auto"/>
              <w:rPr>
                <w:rFonts w:ascii="Tahoma" w:hAnsi="Tahoma" w:cs="Tahoma"/>
                <w:color w:val="000000"/>
                <w:sz w:val="20"/>
                <w:szCs w:val="20"/>
              </w:rPr>
            </w:pPr>
            <w:r w:rsidRPr="00E913DD">
              <w:rPr>
                <w:rFonts w:ascii="Tahoma" w:hAnsi="Tahoma" w:cs="Tahoma"/>
                <w:color w:val="000000"/>
                <w:sz w:val="20"/>
                <w:szCs w:val="20"/>
              </w:rPr>
              <w:t>Benefits of calculating and communicating to GPs a Drug Burden Index (DBI) in elderly patients discharged from the Emergency Department- a pilot study</w:t>
            </w:r>
          </w:p>
        </w:tc>
      </w:tr>
      <w:tr w:rsidR="00C632D1" w:rsidRPr="00E913DD" w:rsidTr="00A67C5F">
        <w:tc>
          <w:tcPr>
            <w:tcW w:w="2802" w:type="dxa"/>
          </w:tcPr>
          <w:p w:rsidR="00C632D1" w:rsidRPr="00E913DD" w:rsidRDefault="00C632D1"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Objectives</w:t>
            </w:r>
          </w:p>
          <w:p w:rsidR="00C632D1" w:rsidRPr="00E913DD" w:rsidRDefault="00C632D1" w:rsidP="005A6F21">
            <w:pPr>
              <w:autoSpaceDE w:val="0"/>
              <w:autoSpaceDN w:val="0"/>
              <w:adjustRightInd w:val="0"/>
              <w:spacing w:after="120"/>
              <w:rPr>
                <w:rFonts w:ascii="Tahoma" w:hAnsi="Tahoma" w:cs="Tahoma"/>
                <w:color w:val="000000"/>
                <w:sz w:val="20"/>
                <w:szCs w:val="20"/>
              </w:rPr>
            </w:pPr>
          </w:p>
        </w:tc>
        <w:tc>
          <w:tcPr>
            <w:tcW w:w="6440" w:type="dxa"/>
          </w:tcPr>
          <w:p w:rsidR="00BE4DA4" w:rsidRPr="00E913DD" w:rsidRDefault="00FE720D" w:rsidP="00E913DD">
            <w:pPr>
              <w:pBdr>
                <w:top w:val="single" w:sz="12" w:space="1" w:color="808080"/>
                <w:left w:val="single" w:sz="12" w:space="4" w:color="808080"/>
                <w:bottom w:val="single" w:sz="12" w:space="1" w:color="808080"/>
                <w:right w:val="single" w:sz="12" w:space="4" w:color="808080"/>
              </w:pBdr>
              <w:spacing w:line="276" w:lineRule="auto"/>
              <w:rPr>
                <w:rFonts w:ascii="Tahoma" w:hAnsi="Tahoma" w:cs="Tahoma"/>
                <w:sz w:val="20"/>
                <w:szCs w:val="20"/>
              </w:rPr>
            </w:pPr>
            <w:r w:rsidRPr="00E913DD">
              <w:rPr>
                <w:rFonts w:ascii="Tahoma" w:hAnsi="Tahoma" w:cs="Tahoma"/>
                <w:color w:val="000000"/>
                <w:sz w:val="20"/>
                <w:szCs w:val="20"/>
              </w:rPr>
              <w:t>Primary:</w:t>
            </w:r>
            <w:r w:rsidR="00BE4DA4" w:rsidRPr="00E913DD">
              <w:rPr>
                <w:rFonts w:ascii="Tahoma" w:hAnsi="Tahoma" w:cs="Tahoma"/>
                <w:color w:val="000000"/>
                <w:sz w:val="20"/>
                <w:szCs w:val="20"/>
              </w:rPr>
              <w:t xml:space="preserve"> </w:t>
            </w:r>
            <w:r w:rsidR="00BE4DA4" w:rsidRPr="00E913DD">
              <w:rPr>
                <w:rFonts w:ascii="Tahoma" w:hAnsi="Tahoma" w:cs="Tahoma"/>
                <w:sz w:val="20"/>
                <w:szCs w:val="20"/>
              </w:rPr>
              <w:t xml:space="preserve">to demonstrate that inappropriate polypharmacy in elderly patients can be reduced by effectively communicating to primary care providers the burden of toxic and/or unnecessary medications being taken by their patients.  </w:t>
            </w:r>
          </w:p>
          <w:p w:rsidR="00FE720D" w:rsidRPr="00E913DD" w:rsidRDefault="00FE720D" w:rsidP="005A6F21">
            <w:pPr>
              <w:autoSpaceDE w:val="0"/>
              <w:autoSpaceDN w:val="0"/>
              <w:adjustRightInd w:val="0"/>
              <w:spacing w:after="120"/>
              <w:rPr>
                <w:rFonts w:ascii="Tahoma" w:hAnsi="Tahoma" w:cs="Tahoma"/>
                <w:color w:val="000000"/>
                <w:sz w:val="20"/>
                <w:szCs w:val="20"/>
              </w:rPr>
            </w:pPr>
          </w:p>
          <w:p w:rsidR="00EF3FCC" w:rsidRPr="00E913DD" w:rsidRDefault="00FE720D" w:rsidP="00EF3FCC">
            <w:pPr>
              <w:tabs>
                <w:tab w:val="left" w:pos="2835"/>
                <w:tab w:val="left" w:pos="4785"/>
              </w:tabs>
              <w:spacing w:before="60" w:after="60" w:line="276" w:lineRule="auto"/>
              <w:rPr>
                <w:rFonts w:ascii="Tahoma" w:hAnsi="Tahoma" w:cs="Tahoma"/>
                <w:color w:val="000000"/>
                <w:sz w:val="20"/>
                <w:szCs w:val="20"/>
              </w:rPr>
            </w:pPr>
            <w:r w:rsidRPr="00E913DD">
              <w:rPr>
                <w:rFonts w:ascii="Tahoma" w:hAnsi="Tahoma" w:cs="Tahoma"/>
                <w:color w:val="000000"/>
                <w:sz w:val="20"/>
                <w:szCs w:val="20"/>
              </w:rPr>
              <w:t>Secondary:</w:t>
            </w:r>
          </w:p>
          <w:p w:rsidR="00EF3FCC" w:rsidRPr="00E913DD" w:rsidRDefault="00EF3FCC" w:rsidP="00EF3FCC">
            <w:pPr>
              <w:tabs>
                <w:tab w:val="left" w:pos="2835"/>
                <w:tab w:val="left" w:pos="4785"/>
              </w:tabs>
              <w:spacing w:before="60" w:after="60" w:line="276" w:lineRule="auto"/>
              <w:rPr>
                <w:rFonts w:ascii="Tahoma" w:hAnsi="Tahoma" w:cs="Tahoma"/>
                <w:sz w:val="20"/>
                <w:szCs w:val="20"/>
              </w:rPr>
            </w:pPr>
            <w:r w:rsidRPr="00E913DD">
              <w:rPr>
                <w:rFonts w:ascii="Tahoma" w:hAnsi="Tahoma" w:cs="Tahoma"/>
                <w:sz w:val="20"/>
                <w:szCs w:val="20"/>
              </w:rPr>
              <w:t xml:space="preserve"> 1.  What is the incidence of medium and High Drug Burden Index scores among the RNSH ED patient cohort?</w:t>
            </w:r>
          </w:p>
          <w:p w:rsidR="00EF3FCC" w:rsidRPr="00E913DD" w:rsidRDefault="00EF3FCC" w:rsidP="00EF3FCC">
            <w:pPr>
              <w:tabs>
                <w:tab w:val="left" w:pos="2835"/>
                <w:tab w:val="left" w:pos="4785"/>
              </w:tabs>
              <w:spacing w:before="60" w:after="60" w:line="276" w:lineRule="auto"/>
              <w:rPr>
                <w:rFonts w:ascii="Tahoma" w:hAnsi="Tahoma" w:cs="Tahoma"/>
                <w:sz w:val="20"/>
                <w:szCs w:val="20"/>
              </w:rPr>
            </w:pPr>
            <w:r w:rsidRPr="00E913DD">
              <w:rPr>
                <w:rFonts w:ascii="Tahoma" w:hAnsi="Tahoma" w:cs="Tahoma"/>
                <w:sz w:val="20"/>
                <w:szCs w:val="20"/>
              </w:rPr>
              <w:t>2.  What changes, if any, are made to patients’ prescribed medications by their GPs after the receipt by the GP of Drug Burden Index scores for their patients?</w:t>
            </w:r>
          </w:p>
          <w:p w:rsidR="00EF3FCC" w:rsidRPr="00E913DD" w:rsidRDefault="00EF3FCC" w:rsidP="00EF3FCC">
            <w:pPr>
              <w:tabs>
                <w:tab w:val="left" w:pos="2835"/>
                <w:tab w:val="left" w:pos="4785"/>
              </w:tabs>
              <w:spacing w:before="60" w:after="60" w:line="276" w:lineRule="auto"/>
              <w:rPr>
                <w:rFonts w:ascii="Tahoma" w:hAnsi="Tahoma" w:cs="Tahoma"/>
                <w:sz w:val="20"/>
                <w:szCs w:val="20"/>
              </w:rPr>
            </w:pPr>
            <w:r w:rsidRPr="00E913DD">
              <w:rPr>
                <w:rFonts w:ascii="Tahoma" w:hAnsi="Tahoma" w:cs="Tahoma"/>
                <w:sz w:val="20"/>
                <w:szCs w:val="20"/>
              </w:rPr>
              <w:t>3. What changes, if any, are seen in patients’ DBI scores one month after their discharge from ED?</w:t>
            </w:r>
          </w:p>
          <w:p w:rsidR="00EF3FCC" w:rsidRPr="00E913DD" w:rsidRDefault="00EF3FCC" w:rsidP="00EF3FCC">
            <w:pPr>
              <w:tabs>
                <w:tab w:val="left" w:pos="2835"/>
                <w:tab w:val="left" w:pos="4785"/>
              </w:tabs>
              <w:spacing w:before="60" w:after="60" w:line="276" w:lineRule="auto"/>
              <w:rPr>
                <w:rFonts w:ascii="Tahoma" w:hAnsi="Tahoma" w:cs="Tahoma"/>
                <w:sz w:val="20"/>
                <w:szCs w:val="20"/>
              </w:rPr>
            </w:pPr>
            <w:r w:rsidRPr="00E913DD">
              <w:rPr>
                <w:rFonts w:ascii="Tahoma" w:hAnsi="Tahoma" w:cs="Tahoma"/>
                <w:sz w:val="20"/>
                <w:szCs w:val="20"/>
              </w:rPr>
              <w:t>4. Are any changes in patients’ DBI sustainable over a six month period?</w:t>
            </w:r>
          </w:p>
          <w:p w:rsidR="00C632D1" w:rsidRPr="00E913DD" w:rsidRDefault="00C632D1" w:rsidP="005A6F21">
            <w:pPr>
              <w:autoSpaceDE w:val="0"/>
              <w:autoSpaceDN w:val="0"/>
              <w:adjustRightInd w:val="0"/>
              <w:spacing w:after="120"/>
              <w:rPr>
                <w:rFonts w:ascii="Tahoma" w:hAnsi="Tahoma" w:cs="Tahoma"/>
                <w:color w:val="000000"/>
                <w:sz w:val="20"/>
                <w:szCs w:val="20"/>
              </w:rPr>
            </w:pPr>
          </w:p>
        </w:tc>
      </w:tr>
      <w:tr w:rsidR="00C632D1" w:rsidRPr="00E913DD" w:rsidTr="00A67C5F">
        <w:tc>
          <w:tcPr>
            <w:tcW w:w="2802" w:type="dxa"/>
          </w:tcPr>
          <w:p w:rsidR="00C632D1" w:rsidRPr="00E913DD" w:rsidRDefault="00C632D1"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Study Design</w:t>
            </w:r>
          </w:p>
        </w:tc>
        <w:tc>
          <w:tcPr>
            <w:tcW w:w="6440" w:type="dxa"/>
          </w:tcPr>
          <w:p w:rsidR="00C632D1" w:rsidRPr="00E913DD" w:rsidRDefault="00F92C82" w:rsidP="005A6F21">
            <w:pPr>
              <w:autoSpaceDE w:val="0"/>
              <w:autoSpaceDN w:val="0"/>
              <w:adjustRightInd w:val="0"/>
              <w:spacing w:after="120"/>
              <w:rPr>
                <w:rFonts w:ascii="Tahoma" w:hAnsi="Tahoma" w:cs="Tahoma"/>
                <w:color w:val="000000"/>
                <w:sz w:val="20"/>
                <w:szCs w:val="20"/>
              </w:rPr>
            </w:pPr>
            <w:r>
              <w:rPr>
                <w:rFonts w:ascii="Tahoma" w:hAnsi="Tahoma" w:cs="Tahoma"/>
                <w:color w:val="000000"/>
                <w:sz w:val="20"/>
                <w:szCs w:val="20"/>
              </w:rPr>
              <w:t>Evaluation study</w:t>
            </w:r>
          </w:p>
        </w:tc>
      </w:tr>
      <w:tr w:rsidR="00C632D1" w:rsidRPr="00E913DD" w:rsidTr="00A67C5F">
        <w:tc>
          <w:tcPr>
            <w:tcW w:w="2802" w:type="dxa"/>
          </w:tcPr>
          <w:p w:rsidR="00C632D1" w:rsidRPr="00E913DD" w:rsidRDefault="00C632D1"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Planned Sample Size</w:t>
            </w:r>
          </w:p>
        </w:tc>
        <w:tc>
          <w:tcPr>
            <w:tcW w:w="6440" w:type="dxa"/>
          </w:tcPr>
          <w:p w:rsidR="00C632D1" w:rsidRPr="00E913DD" w:rsidRDefault="009548F3"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250</w:t>
            </w:r>
          </w:p>
        </w:tc>
      </w:tr>
      <w:tr w:rsidR="00C632D1" w:rsidRPr="00E913DD" w:rsidTr="00A67C5F">
        <w:tc>
          <w:tcPr>
            <w:tcW w:w="2802" w:type="dxa"/>
          </w:tcPr>
          <w:p w:rsidR="00C632D1" w:rsidRPr="00E913DD" w:rsidRDefault="00C632D1"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Selection Criteria</w:t>
            </w:r>
          </w:p>
        </w:tc>
        <w:tc>
          <w:tcPr>
            <w:tcW w:w="6440" w:type="dxa"/>
          </w:tcPr>
          <w:p w:rsidR="00C632D1" w:rsidRPr="00E913DD" w:rsidRDefault="0094099D" w:rsidP="00E913DD">
            <w:pPr>
              <w:autoSpaceDE w:val="0"/>
              <w:autoSpaceDN w:val="0"/>
              <w:adjustRightInd w:val="0"/>
              <w:spacing w:after="120" w:line="276" w:lineRule="auto"/>
              <w:rPr>
                <w:rFonts w:ascii="Tahoma" w:hAnsi="Tahoma" w:cs="Tahoma"/>
                <w:color w:val="000000"/>
                <w:sz w:val="20"/>
                <w:szCs w:val="20"/>
              </w:rPr>
            </w:pPr>
            <w:r w:rsidRPr="00E913DD">
              <w:rPr>
                <w:rFonts w:ascii="Tahoma" w:hAnsi="Tahoma" w:cs="Tahoma"/>
                <w:color w:val="000000"/>
                <w:sz w:val="20"/>
                <w:szCs w:val="20"/>
              </w:rPr>
              <w:t>Elderly (&gt;65 years old)  patients</w:t>
            </w:r>
            <w:r w:rsidR="00E913DD" w:rsidRPr="00E913DD">
              <w:rPr>
                <w:rFonts w:ascii="Tahoma" w:hAnsi="Tahoma" w:cs="Tahoma"/>
                <w:color w:val="000000"/>
                <w:sz w:val="20"/>
                <w:szCs w:val="20"/>
              </w:rPr>
              <w:t xml:space="preserve"> with no significant cognitive impairments,</w:t>
            </w:r>
            <w:r w:rsidR="00F92C82">
              <w:rPr>
                <w:rFonts w:ascii="Tahoma" w:hAnsi="Tahoma" w:cs="Tahoma"/>
                <w:color w:val="000000"/>
                <w:sz w:val="20"/>
                <w:szCs w:val="20"/>
              </w:rPr>
              <w:t xml:space="preserve"> who are taking one or more prescribed medications,</w:t>
            </w:r>
            <w:r w:rsidRPr="00E913DD">
              <w:rPr>
                <w:rFonts w:ascii="Tahoma" w:hAnsi="Tahoma" w:cs="Tahoma"/>
                <w:color w:val="000000"/>
                <w:sz w:val="20"/>
                <w:szCs w:val="20"/>
              </w:rPr>
              <w:t xml:space="preserve"> who have presented to the ED </w:t>
            </w:r>
            <w:r w:rsidR="00E913DD" w:rsidRPr="00E913DD">
              <w:rPr>
                <w:rFonts w:ascii="Tahoma" w:hAnsi="Tahoma" w:cs="Tahoma"/>
                <w:color w:val="000000"/>
                <w:sz w:val="20"/>
                <w:szCs w:val="20"/>
              </w:rPr>
              <w:t>and</w:t>
            </w:r>
            <w:r w:rsidRPr="00E913DD">
              <w:rPr>
                <w:rFonts w:ascii="Tahoma" w:hAnsi="Tahoma" w:cs="Tahoma"/>
                <w:color w:val="000000"/>
                <w:sz w:val="20"/>
                <w:szCs w:val="20"/>
              </w:rPr>
              <w:t xml:space="preserve"> are discharged to home</w:t>
            </w:r>
          </w:p>
        </w:tc>
      </w:tr>
      <w:tr w:rsidR="00C632D1" w:rsidRPr="00E913DD" w:rsidTr="00A67C5F">
        <w:tc>
          <w:tcPr>
            <w:tcW w:w="2802" w:type="dxa"/>
          </w:tcPr>
          <w:p w:rsidR="00C632D1" w:rsidRPr="00E913DD" w:rsidRDefault="00C632D1"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Study Procedures</w:t>
            </w:r>
          </w:p>
        </w:tc>
        <w:tc>
          <w:tcPr>
            <w:tcW w:w="6440" w:type="dxa"/>
          </w:tcPr>
          <w:p w:rsidR="00C632D1" w:rsidRPr="00E913DD" w:rsidRDefault="00F92C82" w:rsidP="005A6F21">
            <w:pPr>
              <w:autoSpaceDE w:val="0"/>
              <w:autoSpaceDN w:val="0"/>
              <w:adjustRightInd w:val="0"/>
              <w:spacing w:after="120"/>
              <w:rPr>
                <w:rFonts w:ascii="Tahoma" w:hAnsi="Tahoma" w:cs="Tahoma"/>
                <w:color w:val="000000"/>
                <w:sz w:val="20"/>
                <w:szCs w:val="20"/>
              </w:rPr>
            </w:pPr>
            <w:r>
              <w:rPr>
                <w:rFonts w:ascii="Tahoma" w:hAnsi="Tahoma" w:cs="Tahoma"/>
                <w:color w:val="000000"/>
                <w:sz w:val="20"/>
                <w:szCs w:val="20"/>
              </w:rPr>
              <w:t>Data collection, Drug Burden Index calculation, Patient follow-up questionnaires</w:t>
            </w:r>
          </w:p>
        </w:tc>
      </w:tr>
      <w:tr w:rsidR="00C632D1" w:rsidRPr="00E913DD" w:rsidTr="00A67C5F">
        <w:tc>
          <w:tcPr>
            <w:tcW w:w="2802" w:type="dxa"/>
          </w:tcPr>
          <w:p w:rsidR="00C632D1" w:rsidRPr="00E913DD" w:rsidRDefault="00C632D1"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Statistical Procedures</w:t>
            </w:r>
          </w:p>
          <w:p w:rsidR="00C632D1" w:rsidRPr="00E913DD" w:rsidRDefault="00C632D1" w:rsidP="005A6F21">
            <w:pPr>
              <w:autoSpaceDE w:val="0"/>
              <w:autoSpaceDN w:val="0"/>
              <w:adjustRightInd w:val="0"/>
              <w:spacing w:after="120"/>
              <w:rPr>
                <w:rFonts w:ascii="Tahoma" w:hAnsi="Tahoma" w:cs="Tahoma"/>
                <w:color w:val="000000"/>
                <w:sz w:val="20"/>
                <w:szCs w:val="20"/>
              </w:rPr>
            </w:pPr>
          </w:p>
        </w:tc>
        <w:tc>
          <w:tcPr>
            <w:tcW w:w="6440" w:type="dxa"/>
          </w:tcPr>
          <w:p w:rsidR="00FE720D" w:rsidRPr="00E913DD" w:rsidRDefault="00FE720D"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Sample Size Calculation:</w:t>
            </w:r>
          </w:p>
          <w:p w:rsidR="00C632D1" w:rsidRPr="00E913DD" w:rsidRDefault="00FE720D"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Analysis Plan:</w:t>
            </w:r>
          </w:p>
        </w:tc>
      </w:tr>
      <w:tr w:rsidR="00C632D1" w:rsidRPr="00E913DD" w:rsidTr="00A67C5F">
        <w:tc>
          <w:tcPr>
            <w:tcW w:w="2802" w:type="dxa"/>
          </w:tcPr>
          <w:p w:rsidR="00C632D1" w:rsidRPr="00E913DD" w:rsidRDefault="00C632D1"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Duration of the study</w:t>
            </w:r>
          </w:p>
        </w:tc>
        <w:tc>
          <w:tcPr>
            <w:tcW w:w="6440" w:type="dxa"/>
          </w:tcPr>
          <w:p w:rsidR="00C632D1" w:rsidRPr="00E913DD" w:rsidRDefault="0094099D" w:rsidP="005A6F21">
            <w:pPr>
              <w:autoSpaceDE w:val="0"/>
              <w:autoSpaceDN w:val="0"/>
              <w:adjustRightInd w:val="0"/>
              <w:spacing w:after="120"/>
              <w:rPr>
                <w:rFonts w:ascii="Tahoma" w:hAnsi="Tahoma" w:cs="Tahoma"/>
                <w:color w:val="000000"/>
                <w:sz w:val="20"/>
                <w:szCs w:val="20"/>
              </w:rPr>
            </w:pPr>
            <w:r w:rsidRPr="00E913DD">
              <w:rPr>
                <w:rFonts w:ascii="Tahoma" w:hAnsi="Tahoma" w:cs="Tahoma"/>
                <w:color w:val="000000"/>
                <w:sz w:val="20"/>
                <w:szCs w:val="20"/>
              </w:rPr>
              <w:t>1 year</w:t>
            </w:r>
          </w:p>
        </w:tc>
      </w:tr>
    </w:tbl>
    <w:p w:rsidR="007D29EC" w:rsidRPr="00FE720D" w:rsidRDefault="007D29EC" w:rsidP="005A6F21">
      <w:pPr>
        <w:autoSpaceDE w:val="0"/>
        <w:autoSpaceDN w:val="0"/>
        <w:adjustRightInd w:val="0"/>
        <w:spacing w:after="120" w:line="240" w:lineRule="auto"/>
        <w:rPr>
          <w:rFonts w:ascii="Calibri,Bold" w:hAnsi="Calibri,Bold" w:cs="Calibri,Bold"/>
          <w:bCs/>
          <w:color w:val="000000"/>
        </w:rPr>
      </w:pPr>
    </w:p>
    <w:p w:rsidR="008A2155" w:rsidRDefault="008A2155">
      <w:pPr>
        <w:rPr>
          <w:rFonts w:cstheme="minorHAnsi"/>
          <w:b/>
          <w:iCs/>
          <w:color w:val="000000"/>
        </w:rPr>
      </w:pPr>
      <w:r>
        <w:br w:type="page"/>
      </w:r>
    </w:p>
    <w:p w:rsidR="00FE720D" w:rsidRPr="00FE720D" w:rsidRDefault="00FE720D" w:rsidP="005A6F21">
      <w:pPr>
        <w:pStyle w:val="Heading1"/>
        <w:numPr>
          <w:ilvl w:val="0"/>
          <w:numId w:val="5"/>
        </w:numPr>
        <w:spacing w:after="120"/>
      </w:pPr>
      <w:r w:rsidRPr="00FE720D">
        <w:lastRenderedPageBreak/>
        <w:t xml:space="preserve">Study Management </w:t>
      </w:r>
    </w:p>
    <w:p w:rsidR="00FE720D" w:rsidRPr="004E2017" w:rsidRDefault="00FE720D" w:rsidP="005A6F21">
      <w:pPr>
        <w:pStyle w:val="ListParagraph"/>
        <w:numPr>
          <w:ilvl w:val="1"/>
          <w:numId w:val="5"/>
        </w:numPr>
        <w:spacing w:after="120" w:line="240" w:lineRule="auto"/>
        <w:jc w:val="both"/>
        <w:rPr>
          <w:b/>
          <w:color w:val="000000"/>
        </w:rPr>
      </w:pPr>
      <w:r w:rsidRPr="004E2017">
        <w:rPr>
          <w:b/>
          <w:color w:val="000000"/>
        </w:rPr>
        <w:t>Principal Investigator</w:t>
      </w:r>
    </w:p>
    <w:tbl>
      <w:tblPr>
        <w:tblStyle w:val="TableGrid"/>
        <w:tblW w:w="9356" w:type="dxa"/>
        <w:tblInd w:w="-3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2694"/>
        <w:gridCol w:w="6662"/>
      </w:tblGrid>
      <w:tr w:rsidR="00434766" w:rsidRPr="00E913DD" w:rsidTr="00FB7F83">
        <w:tc>
          <w:tcPr>
            <w:tcW w:w="2694" w:type="dxa"/>
          </w:tcPr>
          <w:p w:rsidR="00434766" w:rsidRPr="00E913DD" w:rsidRDefault="00434766" w:rsidP="00FB7F83">
            <w:pPr>
              <w:spacing w:before="60" w:afterLines="60" w:after="144"/>
              <w:rPr>
                <w:rFonts w:ascii="Tahoma" w:hAnsi="Tahoma" w:cs="Tahoma"/>
                <w:sz w:val="20"/>
                <w:szCs w:val="20"/>
              </w:rPr>
            </w:pPr>
            <w:r w:rsidRPr="00E913DD">
              <w:rPr>
                <w:rFonts w:ascii="Tahoma" w:hAnsi="Tahoma" w:cs="Tahoma"/>
                <w:sz w:val="20"/>
                <w:szCs w:val="20"/>
              </w:rPr>
              <w:t>Full Name:</w:t>
            </w:r>
          </w:p>
        </w:tc>
        <w:tc>
          <w:tcPr>
            <w:tcW w:w="6662" w:type="dxa"/>
            <w:shd w:val="clear" w:color="auto" w:fill="F2F2F2" w:themeFill="background1" w:themeFillShade="F2"/>
          </w:tcPr>
          <w:p w:rsidR="00434766" w:rsidRPr="00E913DD" w:rsidRDefault="00434766" w:rsidP="00FB7F83">
            <w:pPr>
              <w:spacing w:before="60" w:afterLines="60" w:after="144" w:line="276" w:lineRule="auto"/>
              <w:rPr>
                <w:rFonts w:ascii="Tahoma" w:hAnsi="Tahoma" w:cs="Tahoma"/>
                <w:sz w:val="20"/>
                <w:szCs w:val="20"/>
              </w:rPr>
            </w:pPr>
            <w:r w:rsidRPr="00E913DD">
              <w:rPr>
                <w:rFonts w:ascii="Tahoma" w:hAnsi="Tahoma" w:cs="Tahoma"/>
                <w:sz w:val="20"/>
                <w:szCs w:val="20"/>
              </w:rPr>
              <w:t>Dr Mark Gillett</w:t>
            </w:r>
          </w:p>
        </w:tc>
      </w:tr>
      <w:tr w:rsidR="00434766" w:rsidRPr="00E913DD" w:rsidTr="00E913DD">
        <w:trPr>
          <w:trHeight w:val="620"/>
        </w:trPr>
        <w:tc>
          <w:tcPr>
            <w:tcW w:w="2694" w:type="dxa"/>
          </w:tcPr>
          <w:p w:rsidR="00434766" w:rsidRPr="00E913DD" w:rsidRDefault="00434766" w:rsidP="00FB7F83">
            <w:pPr>
              <w:spacing w:before="60" w:afterLines="60" w:after="144"/>
              <w:rPr>
                <w:rFonts w:ascii="Tahoma" w:hAnsi="Tahoma" w:cs="Tahoma"/>
                <w:sz w:val="20"/>
                <w:szCs w:val="20"/>
              </w:rPr>
            </w:pPr>
            <w:r w:rsidRPr="00E913DD">
              <w:rPr>
                <w:rFonts w:ascii="Tahoma" w:hAnsi="Tahoma" w:cs="Tahoma"/>
                <w:sz w:val="20"/>
                <w:szCs w:val="20"/>
              </w:rPr>
              <w:t>Position:</w:t>
            </w:r>
          </w:p>
        </w:tc>
        <w:tc>
          <w:tcPr>
            <w:tcW w:w="6662" w:type="dxa"/>
            <w:shd w:val="clear" w:color="auto" w:fill="F2F2F2" w:themeFill="background1" w:themeFillShade="F2"/>
          </w:tcPr>
          <w:p w:rsidR="00434766" w:rsidRPr="00E913DD" w:rsidRDefault="00434766" w:rsidP="00FB7F83">
            <w:pPr>
              <w:spacing w:before="60" w:afterLines="60" w:after="144"/>
              <w:rPr>
                <w:rFonts w:ascii="Tahoma" w:hAnsi="Tahoma" w:cs="Tahoma"/>
                <w:sz w:val="20"/>
                <w:szCs w:val="20"/>
              </w:rPr>
            </w:pPr>
            <w:r w:rsidRPr="00E913DD">
              <w:rPr>
                <w:rFonts w:ascii="Tahoma" w:hAnsi="Tahoma" w:cs="Tahoma"/>
                <w:sz w:val="20"/>
                <w:szCs w:val="20"/>
              </w:rPr>
              <w:t>Senior Staff Specialist and Director, Emergency Research RNSH ED</w:t>
            </w:r>
          </w:p>
        </w:tc>
      </w:tr>
      <w:tr w:rsidR="00434766" w:rsidRPr="00E913DD" w:rsidTr="00FB7F83">
        <w:tc>
          <w:tcPr>
            <w:tcW w:w="2694" w:type="dxa"/>
          </w:tcPr>
          <w:p w:rsidR="00434766" w:rsidRPr="00E913DD" w:rsidRDefault="00434766" w:rsidP="00FB7F83">
            <w:pPr>
              <w:spacing w:before="60" w:afterLines="60" w:after="144"/>
              <w:rPr>
                <w:rFonts w:ascii="Tahoma" w:hAnsi="Tahoma" w:cs="Tahoma"/>
                <w:sz w:val="20"/>
                <w:szCs w:val="20"/>
              </w:rPr>
            </w:pPr>
            <w:r w:rsidRPr="00E913DD">
              <w:rPr>
                <w:rFonts w:ascii="Tahoma" w:hAnsi="Tahoma" w:cs="Tahoma"/>
                <w:sz w:val="20"/>
                <w:szCs w:val="20"/>
              </w:rPr>
              <w:t>Contact phone number:</w:t>
            </w:r>
          </w:p>
        </w:tc>
        <w:tc>
          <w:tcPr>
            <w:tcW w:w="6662" w:type="dxa"/>
            <w:shd w:val="clear" w:color="auto" w:fill="F2F2F2" w:themeFill="background1" w:themeFillShade="F2"/>
          </w:tcPr>
          <w:p w:rsidR="00434766" w:rsidRPr="00E913DD" w:rsidRDefault="00434766" w:rsidP="00FB7F83">
            <w:pPr>
              <w:spacing w:before="60" w:afterLines="60" w:after="144" w:line="276" w:lineRule="auto"/>
              <w:rPr>
                <w:rFonts w:ascii="Tahoma" w:hAnsi="Tahoma" w:cs="Tahoma"/>
                <w:sz w:val="20"/>
                <w:szCs w:val="20"/>
              </w:rPr>
            </w:pPr>
            <w:r w:rsidRPr="00E913DD">
              <w:rPr>
                <w:rFonts w:ascii="Tahoma" w:hAnsi="Tahoma" w:cs="Tahoma"/>
                <w:sz w:val="20"/>
                <w:szCs w:val="20"/>
              </w:rPr>
              <w:t>02 9463 2228 / 0457 829 396</w:t>
            </w:r>
          </w:p>
        </w:tc>
      </w:tr>
      <w:tr w:rsidR="00434766" w:rsidRPr="00E913DD" w:rsidTr="00FB7F83">
        <w:tc>
          <w:tcPr>
            <w:tcW w:w="2694" w:type="dxa"/>
          </w:tcPr>
          <w:p w:rsidR="00434766" w:rsidRPr="00E913DD" w:rsidRDefault="00434766" w:rsidP="00FB7F83">
            <w:pPr>
              <w:spacing w:before="60" w:afterLines="60" w:after="144"/>
              <w:rPr>
                <w:rFonts w:ascii="Tahoma" w:hAnsi="Tahoma" w:cs="Tahoma"/>
                <w:sz w:val="20"/>
                <w:szCs w:val="20"/>
              </w:rPr>
            </w:pPr>
            <w:r w:rsidRPr="00E913DD">
              <w:rPr>
                <w:rFonts w:ascii="Tahoma" w:hAnsi="Tahoma" w:cs="Tahoma"/>
                <w:sz w:val="20"/>
                <w:szCs w:val="20"/>
              </w:rPr>
              <w:t>Email:</w:t>
            </w:r>
          </w:p>
        </w:tc>
        <w:tc>
          <w:tcPr>
            <w:tcW w:w="6662" w:type="dxa"/>
            <w:shd w:val="clear" w:color="auto" w:fill="F2F2F2" w:themeFill="background1" w:themeFillShade="F2"/>
          </w:tcPr>
          <w:p w:rsidR="00434766" w:rsidRPr="00E913DD" w:rsidRDefault="00434766" w:rsidP="00FB7F83">
            <w:pPr>
              <w:spacing w:before="60" w:afterLines="60" w:after="144" w:line="276" w:lineRule="auto"/>
              <w:rPr>
                <w:rFonts w:ascii="Tahoma" w:hAnsi="Tahoma" w:cs="Tahoma"/>
                <w:sz w:val="20"/>
                <w:szCs w:val="20"/>
              </w:rPr>
            </w:pPr>
            <w:r w:rsidRPr="00E913DD">
              <w:rPr>
                <w:rFonts w:ascii="Tahoma" w:hAnsi="Tahoma" w:cs="Tahoma"/>
                <w:sz w:val="20"/>
                <w:szCs w:val="20"/>
              </w:rPr>
              <w:t>mgillett@med.usyd.edu.au</w:t>
            </w:r>
          </w:p>
        </w:tc>
      </w:tr>
      <w:tr w:rsidR="00434766" w:rsidRPr="00E913DD" w:rsidTr="00FB7F83">
        <w:tc>
          <w:tcPr>
            <w:tcW w:w="2694" w:type="dxa"/>
          </w:tcPr>
          <w:p w:rsidR="00434766" w:rsidRPr="00E913DD" w:rsidRDefault="00434766" w:rsidP="00E913DD">
            <w:pPr>
              <w:spacing w:before="60" w:afterLines="60" w:after="144" w:line="276" w:lineRule="auto"/>
              <w:rPr>
                <w:rFonts w:ascii="Tahoma" w:hAnsi="Tahoma" w:cs="Tahoma"/>
                <w:sz w:val="20"/>
                <w:szCs w:val="20"/>
              </w:rPr>
            </w:pPr>
            <w:r w:rsidRPr="00E913DD">
              <w:rPr>
                <w:rFonts w:ascii="Tahoma" w:hAnsi="Tahoma" w:cs="Tahoma"/>
                <w:sz w:val="20"/>
                <w:szCs w:val="20"/>
              </w:rPr>
              <w:t>Postal address:</w:t>
            </w:r>
          </w:p>
        </w:tc>
        <w:tc>
          <w:tcPr>
            <w:tcW w:w="6662" w:type="dxa"/>
            <w:shd w:val="clear" w:color="auto" w:fill="F2F2F2" w:themeFill="background1" w:themeFillShade="F2"/>
          </w:tcPr>
          <w:p w:rsidR="00434766" w:rsidRPr="00E913DD" w:rsidRDefault="00434766" w:rsidP="00E913DD">
            <w:pPr>
              <w:spacing w:before="60" w:afterLines="60" w:after="144" w:line="276" w:lineRule="auto"/>
              <w:rPr>
                <w:rFonts w:ascii="Tahoma" w:hAnsi="Tahoma" w:cs="Tahoma"/>
                <w:sz w:val="20"/>
                <w:szCs w:val="20"/>
              </w:rPr>
            </w:pPr>
            <w:r w:rsidRPr="00E913DD">
              <w:rPr>
                <w:rFonts w:ascii="Tahoma" w:hAnsi="Tahoma" w:cs="Tahoma"/>
                <w:sz w:val="20"/>
                <w:szCs w:val="20"/>
              </w:rPr>
              <w:t>Emergency Department,</w:t>
            </w:r>
          </w:p>
          <w:p w:rsidR="00434766" w:rsidRPr="00E913DD" w:rsidRDefault="00434766" w:rsidP="00E913DD">
            <w:pPr>
              <w:spacing w:before="60" w:afterLines="60" w:after="144" w:line="276" w:lineRule="auto"/>
              <w:rPr>
                <w:rFonts w:ascii="Tahoma" w:hAnsi="Tahoma" w:cs="Tahoma"/>
                <w:sz w:val="20"/>
                <w:szCs w:val="20"/>
              </w:rPr>
            </w:pPr>
            <w:r w:rsidRPr="00E913DD">
              <w:rPr>
                <w:rFonts w:ascii="Tahoma" w:hAnsi="Tahoma" w:cs="Tahoma"/>
                <w:sz w:val="20"/>
                <w:szCs w:val="20"/>
              </w:rPr>
              <w:t>Royal North Shore Hospital,</w:t>
            </w:r>
          </w:p>
          <w:p w:rsidR="00434766" w:rsidRPr="00E913DD" w:rsidRDefault="00434766" w:rsidP="00E913DD">
            <w:pPr>
              <w:spacing w:before="60" w:afterLines="60" w:after="144" w:line="276" w:lineRule="auto"/>
              <w:rPr>
                <w:rFonts w:ascii="Tahoma" w:hAnsi="Tahoma" w:cs="Tahoma"/>
                <w:sz w:val="20"/>
                <w:szCs w:val="20"/>
              </w:rPr>
            </w:pPr>
            <w:r w:rsidRPr="00E913DD">
              <w:rPr>
                <w:rFonts w:ascii="Tahoma" w:hAnsi="Tahoma" w:cs="Tahoma"/>
                <w:sz w:val="20"/>
                <w:szCs w:val="20"/>
              </w:rPr>
              <w:t>Reserve Rd., St. Leonards, NSW 2065</w:t>
            </w:r>
          </w:p>
        </w:tc>
      </w:tr>
    </w:tbl>
    <w:p w:rsidR="00434766" w:rsidRDefault="00434766" w:rsidP="005A6F21">
      <w:pPr>
        <w:spacing w:after="120" w:line="240" w:lineRule="auto"/>
        <w:rPr>
          <w:color w:val="FF0000"/>
          <w:lang w:eastAsia="en-AU"/>
        </w:rPr>
      </w:pPr>
    </w:p>
    <w:p w:rsidR="00FE720D" w:rsidRPr="004E2017" w:rsidRDefault="00FE720D" w:rsidP="005A6F21">
      <w:pPr>
        <w:pStyle w:val="ListParagraph"/>
        <w:numPr>
          <w:ilvl w:val="1"/>
          <w:numId w:val="5"/>
        </w:numPr>
        <w:spacing w:after="120" w:line="240" w:lineRule="auto"/>
        <w:jc w:val="both"/>
        <w:rPr>
          <w:b/>
          <w:color w:val="000000"/>
        </w:rPr>
      </w:pPr>
      <w:r w:rsidRPr="004E2017">
        <w:rPr>
          <w:b/>
          <w:color w:val="000000"/>
        </w:rPr>
        <w:t>Associate Investigators</w:t>
      </w:r>
    </w:p>
    <w:tbl>
      <w:tblPr>
        <w:tblStyle w:val="TableGrid"/>
        <w:tblW w:w="8789" w:type="dxa"/>
        <w:tblInd w:w="-3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568"/>
        <w:gridCol w:w="1781"/>
        <w:gridCol w:w="4597"/>
        <w:gridCol w:w="1843"/>
      </w:tblGrid>
      <w:tr w:rsidR="00434766" w:rsidRPr="00E913DD" w:rsidTr="00E913DD">
        <w:tc>
          <w:tcPr>
            <w:tcW w:w="568" w:type="dxa"/>
          </w:tcPr>
          <w:p w:rsidR="00434766" w:rsidRPr="00E913DD" w:rsidRDefault="00434766" w:rsidP="00FB7F83">
            <w:pPr>
              <w:spacing w:before="60" w:after="60" w:line="276" w:lineRule="auto"/>
              <w:rPr>
                <w:rFonts w:ascii="Tahoma" w:hAnsi="Tahoma" w:cs="Tahoma"/>
                <w:b/>
                <w:sz w:val="20"/>
                <w:szCs w:val="20"/>
              </w:rPr>
            </w:pPr>
            <w:r w:rsidRPr="00E913DD">
              <w:rPr>
                <w:rFonts w:ascii="Tahoma" w:hAnsi="Tahoma" w:cs="Tahoma"/>
                <w:b/>
                <w:sz w:val="20"/>
                <w:szCs w:val="20"/>
              </w:rPr>
              <w:t>#</w:t>
            </w:r>
          </w:p>
        </w:tc>
        <w:tc>
          <w:tcPr>
            <w:tcW w:w="1781" w:type="dxa"/>
          </w:tcPr>
          <w:p w:rsidR="00434766" w:rsidRPr="00E913DD" w:rsidRDefault="00434766" w:rsidP="00FB7F83">
            <w:pPr>
              <w:spacing w:before="60" w:after="60" w:line="276" w:lineRule="auto"/>
              <w:rPr>
                <w:rFonts w:ascii="Tahoma" w:hAnsi="Tahoma" w:cs="Tahoma"/>
                <w:b/>
                <w:sz w:val="20"/>
                <w:szCs w:val="20"/>
              </w:rPr>
            </w:pPr>
            <w:r w:rsidRPr="00E913DD">
              <w:rPr>
                <w:rFonts w:ascii="Tahoma" w:hAnsi="Tahoma" w:cs="Tahoma"/>
                <w:b/>
                <w:sz w:val="20"/>
                <w:szCs w:val="20"/>
              </w:rPr>
              <w:t>Full Name</w:t>
            </w:r>
          </w:p>
        </w:tc>
        <w:tc>
          <w:tcPr>
            <w:tcW w:w="4597" w:type="dxa"/>
          </w:tcPr>
          <w:p w:rsidR="00434766" w:rsidRPr="00E913DD" w:rsidRDefault="00434766" w:rsidP="00FB7F83">
            <w:pPr>
              <w:spacing w:before="60" w:after="60" w:line="276" w:lineRule="auto"/>
              <w:rPr>
                <w:rFonts w:ascii="Tahoma" w:hAnsi="Tahoma" w:cs="Tahoma"/>
                <w:b/>
                <w:sz w:val="20"/>
                <w:szCs w:val="20"/>
              </w:rPr>
            </w:pPr>
            <w:r w:rsidRPr="00E913DD">
              <w:rPr>
                <w:rFonts w:ascii="Tahoma" w:hAnsi="Tahoma" w:cs="Tahoma"/>
                <w:b/>
                <w:sz w:val="20"/>
                <w:szCs w:val="20"/>
              </w:rPr>
              <w:t>Address</w:t>
            </w:r>
          </w:p>
        </w:tc>
        <w:tc>
          <w:tcPr>
            <w:tcW w:w="1843" w:type="dxa"/>
          </w:tcPr>
          <w:p w:rsidR="00434766" w:rsidRPr="00E913DD" w:rsidRDefault="00434766" w:rsidP="00FB7F83">
            <w:pPr>
              <w:spacing w:before="60" w:after="60"/>
              <w:rPr>
                <w:rFonts w:ascii="Tahoma" w:hAnsi="Tahoma" w:cs="Tahoma"/>
                <w:b/>
                <w:sz w:val="20"/>
                <w:szCs w:val="20"/>
              </w:rPr>
            </w:pPr>
            <w:r w:rsidRPr="00E913DD">
              <w:rPr>
                <w:rFonts w:ascii="Tahoma" w:hAnsi="Tahoma" w:cs="Tahoma"/>
                <w:b/>
                <w:sz w:val="20"/>
                <w:szCs w:val="20"/>
              </w:rPr>
              <w:t>Telephone</w:t>
            </w:r>
          </w:p>
        </w:tc>
      </w:tr>
      <w:tr w:rsidR="00434766" w:rsidRPr="00E913DD" w:rsidTr="00E913DD">
        <w:tc>
          <w:tcPr>
            <w:tcW w:w="568" w:type="dxa"/>
          </w:tcPr>
          <w:p w:rsidR="00434766" w:rsidRPr="00E913DD" w:rsidRDefault="00434766" w:rsidP="00FB7F83">
            <w:pPr>
              <w:spacing w:before="60" w:after="60" w:line="276" w:lineRule="auto"/>
              <w:rPr>
                <w:rFonts w:ascii="Tahoma" w:hAnsi="Tahoma" w:cs="Tahoma"/>
                <w:sz w:val="20"/>
                <w:szCs w:val="20"/>
              </w:rPr>
            </w:pPr>
            <w:r w:rsidRPr="00E913DD">
              <w:rPr>
                <w:rFonts w:ascii="Tahoma" w:hAnsi="Tahoma" w:cs="Tahoma"/>
                <w:sz w:val="20"/>
                <w:szCs w:val="20"/>
              </w:rPr>
              <w:t>1</w:t>
            </w:r>
          </w:p>
        </w:tc>
        <w:tc>
          <w:tcPr>
            <w:tcW w:w="1781" w:type="dxa"/>
            <w:shd w:val="clear" w:color="auto" w:fill="F2F2F2" w:themeFill="background1" w:themeFillShade="F2"/>
          </w:tcPr>
          <w:p w:rsidR="00434766" w:rsidRPr="00E913DD" w:rsidRDefault="00434766" w:rsidP="00FB7F83">
            <w:pPr>
              <w:spacing w:before="60" w:after="60" w:line="276" w:lineRule="auto"/>
              <w:rPr>
                <w:rFonts w:ascii="Tahoma" w:hAnsi="Tahoma" w:cs="Tahoma"/>
                <w:sz w:val="20"/>
                <w:szCs w:val="20"/>
              </w:rPr>
            </w:pPr>
            <w:r w:rsidRPr="00E913DD">
              <w:rPr>
                <w:rFonts w:ascii="Tahoma" w:hAnsi="Tahoma" w:cs="Tahoma"/>
                <w:sz w:val="20"/>
                <w:szCs w:val="20"/>
              </w:rPr>
              <w:t>Dr Sarah Wilks</w:t>
            </w:r>
          </w:p>
          <w:p w:rsidR="00434766" w:rsidRPr="00E913DD" w:rsidRDefault="00434766" w:rsidP="00FB7F83">
            <w:pPr>
              <w:spacing w:before="60" w:after="60"/>
              <w:rPr>
                <w:rFonts w:ascii="Tahoma" w:hAnsi="Tahoma" w:cs="Tahoma"/>
                <w:sz w:val="20"/>
                <w:szCs w:val="20"/>
              </w:rPr>
            </w:pPr>
          </w:p>
        </w:tc>
        <w:tc>
          <w:tcPr>
            <w:tcW w:w="4597" w:type="dxa"/>
            <w:shd w:val="clear" w:color="auto" w:fill="F2F2F2" w:themeFill="background1" w:themeFillShade="F2"/>
          </w:tcPr>
          <w:p w:rsidR="00434766" w:rsidRPr="00E913DD" w:rsidRDefault="00434766" w:rsidP="00FB7F83">
            <w:pPr>
              <w:spacing w:before="120" w:after="120"/>
              <w:rPr>
                <w:rFonts w:ascii="Tahoma" w:hAnsi="Tahoma" w:cs="Tahoma"/>
                <w:sz w:val="20"/>
                <w:szCs w:val="20"/>
              </w:rPr>
            </w:pPr>
            <w:r w:rsidRPr="00E913DD">
              <w:rPr>
                <w:rFonts w:ascii="Tahoma" w:hAnsi="Tahoma" w:cs="Tahoma"/>
                <w:sz w:val="20"/>
                <w:szCs w:val="20"/>
              </w:rPr>
              <w:t>Emergency Department, RNSH, Reserve Rd., St. Leonards, NSW 2065</w:t>
            </w:r>
          </w:p>
        </w:tc>
        <w:tc>
          <w:tcPr>
            <w:tcW w:w="1843" w:type="dxa"/>
            <w:shd w:val="clear" w:color="auto" w:fill="F2F2F2" w:themeFill="background1" w:themeFillShade="F2"/>
          </w:tcPr>
          <w:p w:rsidR="00434766" w:rsidRPr="00E913DD" w:rsidRDefault="00434766" w:rsidP="00FB7F83">
            <w:pPr>
              <w:spacing w:before="120" w:after="120"/>
              <w:rPr>
                <w:rFonts w:ascii="Tahoma" w:hAnsi="Tahoma" w:cs="Tahoma"/>
                <w:sz w:val="20"/>
                <w:szCs w:val="20"/>
              </w:rPr>
            </w:pPr>
            <w:r w:rsidRPr="00E913DD">
              <w:rPr>
                <w:rFonts w:ascii="Tahoma" w:hAnsi="Tahoma" w:cs="Tahoma"/>
                <w:sz w:val="20"/>
                <w:szCs w:val="20"/>
              </w:rPr>
              <w:t>0419 492 531</w:t>
            </w:r>
          </w:p>
        </w:tc>
      </w:tr>
      <w:tr w:rsidR="00434766" w:rsidRPr="00E913DD" w:rsidTr="00E913DD">
        <w:tc>
          <w:tcPr>
            <w:tcW w:w="568" w:type="dxa"/>
          </w:tcPr>
          <w:p w:rsidR="00434766" w:rsidRPr="00E913DD" w:rsidRDefault="00434766" w:rsidP="00FB7F83">
            <w:pPr>
              <w:spacing w:before="60" w:after="60" w:line="276" w:lineRule="auto"/>
              <w:rPr>
                <w:rFonts w:ascii="Tahoma" w:hAnsi="Tahoma" w:cs="Tahoma"/>
                <w:sz w:val="20"/>
                <w:szCs w:val="20"/>
              </w:rPr>
            </w:pPr>
            <w:r w:rsidRPr="00E913DD">
              <w:rPr>
                <w:rFonts w:ascii="Tahoma" w:hAnsi="Tahoma" w:cs="Tahoma"/>
                <w:sz w:val="20"/>
                <w:szCs w:val="20"/>
              </w:rPr>
              <w:t>2</w:t>
            </w:r>
          </w:p>
        </w:tc>
        <w:tc>
          <w:tcPr>
            <w:tcW w:w="1781" w:type="dxa"/>
            <w:shd w:val="clear" w:color="auto" w:fill="F2F2F2" w:themeFill="background1" w:themeFillShade="F2"/>
          </w:tcPr>
          <w:p w:rsidR="00434766" w:rsidRPr="00E913DD" w:rsidRDefault="00434766" w:rsidP="00FB7F83">
            <w:pPr>
              <w:spacing w:before="60" w:after="60" w:line="276" w:lineRule="auto"/>
              <w:rPr>
                <w:rFonts w:ascii="Tahoma" w:hAnsi="Tahoma" w:cs="Tahoma"/>
                <w:sz w:val="20"/>
                <w:szCs w:val="20"/>
              </w:rPr>
            </w:pPr>
            <w:r w:rsidRPr="00E913DD">
              <w:rPr>
                <w:rFonts w:ascii="Tahoma" w:hAnsi="Tahoma" w:cs="Tahoma"/>
                <w:sz w:val="20"/>
                <w:szCs w:val="20"/>
              </w:rPr>
              <w:t>Prof Sarah Hilmer</w:t>
            </w:r>
          </w:p>
        </w:tc>
        <w:tc>
          <w:tcPr>
            <w:tcW w:w="4597" w:type="dxa"/>
            <w:shd w:val="clear" w:color="auto" w:fill="F2F2F2" w:themeFill="background1" w:themeFillShade="F2"/>
          </w:tcPr>
          <w:p w:rsidR="00434766" w:rsidRPr="00E913DD" w:rsidRDefault="00434766" w:rsidP="00FB7F83">
            <w:pPr>
              <w:spacing w:before="60" w:after="60" w:line="276" w:lineRule="auto"/>
              <w:rPr>
                <w:rFonts w:ascii="Tahoma" w:hAnsi="Tahoma" w:cs="Tahoma"/>
                <w:sz w:val="20"/>
                <w:szCs w:val="20"/>
              </w:rPr>
            </w:pPr>
            <w:r w:rsidRPr="00E913DD">
              <w:rPr>
                <w:rFonts w:ascii="Tahoma" w:hAnsi="Tahoma" w:cs="Tahoma"/>
                <w:sz w:val="20"/>
                <w:szCs w:val="20"/>
              </w:rPr>
              <w:t>RNSH, Reserve Rd., St. Leonards, NSW 2065</w:t>
            </w:r>
          </w:p>
        </w:tc>
        <w:tc>
          <w:tcPr>
            <w:tcW w:w="1843" w:type="dxa"/>
            <w:shd w:val="clear" w:color="auto" w:fill="F2F2F2" w:themeFill="background1" w:themeFillShade="F2"/>
          </w:tcPr>
          <w:p w:rsidR="00434766" w:rsidRPr="00E913DD" w:rsidRDefault="00434766" w:rsidP="00FB7F83">
            <w:pPr>
              <w:spacing w:before="120" w:after="120"/>
              <w:rPr>
                <w:rFonts w:ascii="Tahoma" w:hAnsi="Tahoma" w:cs="Tahoma"/>
                <w:sz w:val="20"/>
                <w:szCs w:val="20"/>
              </w:rPr>
            </w:pPr>
          </w:p>
        </w:tc>
      </w:tr>
    </w:tbl>
    <w:p w:rsidR="00434766" w:rsidRDefault="00434766" w:rsidP="005A6F21">
      <w:pPr>
        <w:spacing w:after="120" w:line="240" w:lineRule="auto"/>
        <w:rPr>
          <w:color w:val="FF0000"/>
          <w:lang w:eastAsia="en-AU"/>
        </w:rPr>
      </w:pPr>
    </w:p>
    <w:p w:rsidR="00FE720D" w:rsidRPr="004E2017" w:rsidRDefault="00FE720D" w:rsidP="005A6F21">
      <w:pPr>
        <w:pStyle w:val="ListParagraph"/>
        <w:numPr>
          <w:ilvl w:val="1"/>
          <w:numId w:val="5"/>
        </w:numPr>
        <w:spacing w:after="120" w:line="240" w:lineRule="auto"/>
        <w:jc w:val="both"/>
        <w:rPr>
          <w:b/>
          <w:color w:val="000000"/>
        </w:rPr>
      </w:pPr>
      <w:r w:rsidRPr="004E2017">
        <w:rPr>
          <w:b/>
          <w:color w:val="000000"/>
        </w:rPr>
        <w:t>Statistician</w:t>
      </w:r>
      <w:r>
        <w:rPr>
          <w:b/>
          <w:color w:val="000000"/>
        </w:rPr>
        <w:t xml:space="preserve"> (if applicable)</w:t>
      </w:r>
    </w:p>
    <w:p w:rsidR="00434766" w:rsidRPr="00E913DD" w:rsidRDefault="00434766" w:rsidP="00434766">
      <w:pPr>
        <w:spacing w:after="120" w:line="240" w:lineRule="auto"/>
        <w:rPr>
          <w:rFonts w:ascii="Tahoma" w:hAnsi="Tahoma" w:cs="Tahoma"/>
          <w:sz w:val="20"/>
          <w:szCs w:val="20"/>
          <w:lang w:eastAsia="en-AU"/>
        </w:rPr>
      </w:pPr>
      <w:r w:rsidRPr="00E913DD">
        <w:rPr>
          <w:rFonts w:ascii="Tahoma" w:hAnsi="Tahoma" w:cs="Tahoma"/>
          <w:sz w:val="20"/>
          <w:szCs w:val="20"/>
          <w:lang w:eastAsia="en-AU"/>
        </w:rPr>
        <w:t>Ms Emma Gibbs</w:t>
      </w:r>
    </w:p>
    <w:p w:rsidR="00434766" w:rsidRPr="00E913DD" w:rsidRDefault="00434766" w:rsidP="00434766">
      <w:pPr>
        <w:spacing w:after="120" w:line="240" w:lineRule="auto"/>
        <w:rPr>
          <w:rFonts w:ascii="Tahoma" w:hAnsi="Tahoma" w:cs="Tahoma"/>
          <w:color w:val="333333"/>
          <w:sz w:val="20"/>
          <w:szCs w:val="20"/>
        </w:rPr>
      </w:pPr>
      <w:r w:rsidRPr="00E913DD">
        <w:rPr>
          <w:rFonts w:ascii="Tahoma" w:hAnsi="Tahoma" w:cs="Tahoma"/>
          <w:color w:val="333333"/>
          <w:sz w:val="20"/>
          <w:szCs w:val="20"/>
        </w:rPr>
        <w:t>K25 - Medical Foundation Building</w:t>
      </w:r>
      <w:r w:rsidRPr="00E913DD">
        <w:rPr>
          <w:rFonts w:ascii="Tahoma" w:hAnsi="Tahoma" w:cs="Tahoma"/>
          <w:color w:val="333333"/>
          <w:sz w:val="20"/>
          <w:szCs w:val="20"/>
        </w:rPr>
        <w:br/>
        <w:t>The University of Sydney</w:t>
      </w:r>
      <w:r w:rsidRPr="00E913DD">
        <w:rPr>
          <w:rFonts w:ascii="Tahoma" w:hAnsi="Tahoma" w:cs="Tahoma"/>
          <w:color w:val="333333"/>
          <w:sz w:val="20"/>
          <w:szCs w:val="20"/>
        </w:rPr>
        <w:br/>
        <w:t>NSW 2006 Australia</w:t>
      </w:r>
    </w:p>
    <w:p w:rsidR="00434766" w:rsidRPr="00E913DD" w:rsidRDefault="00434766" w:rsidP="00434766">
      <w:pPr>
        <w:spacing w:after="120" w:line="240" w:lineRule="auto"/>
        <w:rPr>
          <w:rFonts w:ascii="Tahoma" w:hAnsi="Tahoma" w:cs="Tahoma"/>
          <w:color w:val="333333"/>
          <w:sz w:val="20"/>
          <w:szCs w:val="20"/>
        </w:rPr>
      </w:pPr>
      <w:r w:rsidRPr="00E913DD">
        <w:rPr>
          <w:rFonts w:ascii="Tahoma" w:hAnsi="Tahoma" w:cs="Tahoma"/>
          <w:color w:val="333333"/>
          <w:sz w:val="20"/>
          <w:szCs w:val="20"/>
        </w:rPr>
        <w:t>8036 5235</w:t>
      </w:r>
    </w:p>
    <w:p w:rsidR="00FE720D" w:rsidRPr="004E2017" w:rsidRDefault="00FE720D" w:rsidP="005A6F21">
      <w:pPr>
        <w:pStyle w:val="ListParagraph"/>
        <w:numPr>
          <w:ilvl w:val="1"/>
          <w:numId w:val="5"/>
        </w:numPr>
        <w:spacing w:after="120" w:line="240" w:lineRule="auto"/>
        <w:jc w:val="both"/>
        <w:rPr>
          <w:b/>
          <w:color w:val="000000"/>
        </w:rPr>
      </w:pPr>
      <w:r w:rsidRPr="004E2017">
        <w:rPr>
          <w:b/>
          <w:color w:val="000000"/>
        </w:rPr>
        <w:t>Funding and resources</w:t>
      </w:r>
    </w:p>
    <w:p w:rsidR="00434766" w:rsidRPr="00434766" w:rsidRDefault="00434766" w:rsidP="00434766">
      <w:pPr>
        <w:spacing w:after="120" w:line="240" w:lineRule="auto"/>
        <w:rPr>
          <w:rFonts w:ascii="Arial" w:hAnsi="Arial" w:cs="Arial"/>
          <w:lang w:eastAsia="en-AU"/>
        </w:rPr>
      </w:pPr>
      <w:r w:rsidRPr="00434766">
        <w:rPr>
          <w:rFonts w:ascii="Arial" w:hAnsi="Arial" w:cs="Arial"/>
          <w:lang w:eastAsia="en-AU"/>
        </w:rPr>
        <w:t>This study is wholly funded by a grant from the HCF Research Foundation</w:t>
      </w:r>
    </w:p>
    <w:p w:rsidR="00FE720D" w:rsidRPr="004E2017" w:rsidRDefault="00FE720D" w:rsidP="005A6F21">
      <w:pPr>
        <w:pStyle w:val="Heading1"/>
        <w:keepLines/>
        <w:numPr>
          <w:ilvl w:val="0"/>
          <w:numId w:val="4"/>
        </w:numPr>
        <w:autoSpaceDE/>
        <w:autoSpaceDN/>
        <w:adjustRightInd/>
        <w:spacing w:after="120"/>
        <w:rPr>
          <w:caps/>
        </w:rPr>
      </w:pPr>
      <w:r w:rsidRPr="004E2017">
        <w:t>INTRODUCTION AND BACKGROUND</w:t>
      </w:r>
    </w:p>
    <w:p w:rsidR="00B11E54" w:rsidRDefault="00FE720D" w:rsidP="005A6F21">
      <w:pPr>
        <w:pStyle w:val="ListParagraph"/>
        <w:numPr>
          <w:ilvl w:val="1"/>
          <w:numId w:val="6"/>
        </w:numPr>
        <w:spacing w:after="120" w:line="240" w:lineRule="auto"/>
        <w:ind w:left="1077" w:hanging="357"/>
        <w:jc w:val="both"/>
        <w:rPr>
          <w:b/>
          <w:color w:val="000000"/>
        </w:rPr>
      </w:pPr>
      <w:r w:rsidRPr="004E2017">
        <w:rPr>
          <w:b/>
          <w:color w:val="000000"/>
        </w:rPr>
        <w:t xml:space="preserve"> </w:t>
      </w:r>
      <w:r w:rsidRPr="004E2017">
        <w:rPr>
          <w:b/>
          <w:color w:val="000000"/>
        </w:rPr>
        <w:tab/>
        <w:t>Background Information</w:t>
      </w:r>
    </w:p>
    <w:p w:rsidR="00C17CC6" w:rsidRPr="00C17CC6" w:rsidRDefault="00C17CC6" w:rsidP="00E913DD">
      <w:pPr>
        <w:tabs>
          <w:tab w:val="left" w:pos="2835"/>
          <w:tab w:val="left" w:pos="4785"/>
        </w:tabs>
        <w:spacing w:before="60" w:after="60"/>
        <w:rPr>
          <w:rFonts w:ascii="Tahoma" w:hAnsi="Tahoma" w:cs="Tahoma"/>
          <w:sz w:val="20"/>
        </w:rPr>
      </w:pPr>
      <w:r w:rsidRPr="00C17CC6">
        <w:rPr>
          <w:rFonts w:ascii="Tahoma" w:hAnsi="Tahoma" w:cs="Tahoma"/>
          <w:sz w:val="20"/>
        </w:rPr>
        <w:t>Polypharmacy is very common in elderly Australians and has been associated with increased presentations to EDs with conditions such as falls, fractures, confusion, faints and dizziness</w:t>
      </w:r>
      <w:r w:rsidR="00411578">
        <w:rPr>
          <w:rFonts w:ascii="Tahoma" w:hAnsi="Tahoma" w:cs="Tahoma"/>
          <w:sz w:val="20"/>
        </w:rPr>
        <w:t xml:space="preserve"> </w:t>
      </w:r>
      <w:r w:rsidR="00411578" w:rsidRPr="00EC6299">
        <w:rPr>
          <w:rFonts w:ascii="Tahoma" w:hAnsi="Tahoma" w:cs="Tahoma"/>
          <w:sz w:val="20"/>
          <w:highlight w:val="yellow"/>
        </w:rPr>
        <w:t>(Nishtala et al 2014)</w:t>
      </w:r>
      <w:r w:rsidRPr="00EC6299">
        <w:rPr>
          <w:rFonts w:ascii="Tahoma" w:hAnsi="Tahoma" w:cs="Tahoma"/>
          <w:sz w:val="20"/>
          <w:highlight w:val="yellow"/>
        </w:rPr>
        <w:t>.</w:t>
      </w:r>
      <w:r w:rsidRPr="00C17CC6">
        <w:rPr>
          <w:rFonts w:ascii="Tahoma" w:hAnsi="Tahoma" w:cs="Tahoma"/>
          <w:sz w:val="20"/>
        </w:rPr>
        <w:t xml:space="preserve"> </w:t>
      </w:r>
    </w:p>
    <w:p w:rsidR="00C17CC6" w:rsidRDefault="00C17CC6" w:rsidP="00E913DD">
      <w:pPr>
        <w:tabs>
          <w:tab w:val="left" w:pos="2835"/>
          <w:tab w:val="left" w:pos="4785"/>
        </w:tabs>
        <w:spacing w:before="60" w:after="60"/>
        <w:rPr>
          <w:rFonts w:ascii="Tahoma" w:hAnsi="Tahoma" w:cs="Tahoma"/>
          <w:sz w:val="20"/>
        </w:rPr>
      </w:pPr>
      <w:r w:rsidRPr="00C17CC6">
        <w:rPr>
          <w:rFonts w:ascii="Tahoma" w:hAnsi="Tahoma" w:cs="Tahoma"/>
          <w:sz w:val="20"/>
        </w:rPr>
        <w:t xml:space="preserve">Many medications have side effects and complex interactions, which can both cause and exacerbate negative effects on balance, co-ordination, vision and cognitive function. Of particular concern are psychoactive drugs (sedatives, antipsychotics, antidepressants), anticholinergic medications, antihypertensives and cardioactive drugs. </w:t>
      </w:r>
    </w:p>
    <w:p w:rsidR="00775708" w:rsidRPr="00C17CC6" w:rsidRDefault="00775708" w:rsidP="00E913DD">
      <w:pPr>
        <w:tabs>
          <w:tab w:val="left" w:pos="2835"/>
          <w:tab w:val="left" w:pos="4785"/>
        </w:tabs>
        <w:spacing w:before="60" w:after="60"/>
        <w:rPr>
          <w:rFonts w:ascii="Tahoma" w:hAnsi="Tahoma" w:cs="Tahoma"/>
          <w:sz w:val="20"/>
        </w:rPr>
      </w:pPr>
      <w:r w:rsidRPr="00775708">
        <w:rPr>
          <w:rFonts w:ascii="Tahoma" w:hAnsi="Tahoma" w:cs="Tahoma"/>
          <w:sz w:val="20"/>
        </w:rPr>
        <w:t xml:space="preserve">Medications with sedative or anticholinergic properties have been implicated in a higher rate of adverse drug reactions (ADR) in older people, in particular impaired physical function, cognitive deterioration and functional decline </w:t>
      </w:r>
      <w:r w:rsidRPr="00EC6299">
        <w:rPr>
          <w:rFonts w:ascii="Tahoma" w:hAnsi="Tahoma" w:cs="Tahoma"/>
          <w:sz w:val="20"/>
          <w:highlight w:val="yellow"/>
        </w:rPr>
        <w:t>(</w:t>
      </w:r>
      <w:r w:rsidR="00411578" w:rsidRPr="00EC6299">
        <w:rPr>
          <w:rFonts w:ascii="Tahoma" w:hAnsi="Tahoma" w:cs="Tahoma"/>
          <w:sz w:val="20"/>
          <w:highlight w:val="yellow"/>
        </w:rPr>
        <w:t xml:space="preserve">Hilmer et al 2007, </w:t>
      </w:r>
      <w:r w:rsidRPr="00EC6299">
        <w:rPr>
          <w:rFonts w:ascii="Tahoma" w:hAnsi="Tahoma" w:cs="Tahoma"/>
          <w:sz w:val="20"/>
          <w:highlight w:val="yellow"/>
        </w:rPr>
        <w:t>Han et al 2008, Gnjidic et al 2009</w:t>
      </w:r>
      <w:r w:rsidR="00411578" w:rsidRPr="00EC6299">
        <w:rPr>
          <w:rFonts w:ascii="Tahoma" w:hAnsi="Tahoma" w:cs="Tahoma"/>
          <w:sz w:val="20"/>
          <w:highlight w:val="yellow"/>
        </w:rPr>
        <w:t>, Gnjidic et al 2014</w:t>
      </w:r>
      <w:r w:rsidRPr="00EC6299">
        <w:rPr>
          <w:rFonts w:ascii="Tahoma" w:hAnsi="Tahoma" w:cs="Tahoma"/>
          <w:sz w:val="20"/>
          <w:highlight w:val="yellow"/>
        </w:rPr>
        <w:t>).</w:t>
      </w:r>
    </w:p>
    <w:p w:rsidR="00434766" w:rsidRPr="00C17CC6" w:rsidRDefault="00C17CC6" w:rsidP="00E913DD">
      <w:pPr>
        <w:tabs>
          <w:tab w:val="left" w:pos="2835"/>
          <w:tab w:val="left" w:pos="4785"/>
        </w:tabs>
        <w:spacing w:before="60" w:after="60"/>
        <w:rPr>
          <w:rFonts w:ascii="Tahoma" w:hAnsi="Tahoma" w:cs="Tahoma"/>
          <w:sz w:val="20"/>
        </w:rPr>
      </w:pPr>
      <w:r w:rsidRPr="00C17CC6">
        <w:rPr>
          <w:rFonts w:ascii="Tahoma" w:hAnsi="Tahoma" w:cs="Tahoma"/>
          <w:sz w:val="20"/>
        </w:rPr>
        <w:lastRenderedPageBreak/>
        <w:t>Numerous studies have demonstrated strong associations between IP in older patients and presentations to Emergency Departments (EDs) with conditions such as falls, long bone fractures (neck of femur, wrist), confusion, delirium, faints and dizziness.  Amongst elderly patients, 20-30% of hospital admissions are medication-related and 20% will have an adverse</w:t>
      </w:r>
      <w:r w:rsidR="00411578">
        <w:rPr>
          <w:rFonts w:ascii="Tahoma" w:hAnsi="Tahoma" w:cs="Tahoma"/>
          <w:sz w:val="20"/>
        </w:rPr>
        <w:t xml:space="preserve"> drug reaction during admission (</w:t>
      </w:r>
      <w:r w:rsidR="00411578" w:rsidRPr="00EC6299">
        <w:rPr>
          <w:rFonts w:ascii="Tahoma" w:hAnsi="Tahoma" w:cs="Tahoma"/>
          <w:sz w:val="20"/>
          <w:highlight w:val="yellow"/>
        </w:rPr>
        <w:t>Bennett et al 2014, Gnjidic et al 2014, Nishtala et al 2014).</w:t>
      </w:r>
    </w:p>
    <w:p w:rsidR="00B11E54" w:rsidRDefault="00FE720D" w:rsidP="005A6F21">
      <w:pPr>
        <w:pStyle w:val="ListParagraph"/>
        <w:numPr>
          <w:ilvl w:val="1"/>
          <w:numId w:val="6"/>
        </w:numPr>
        <w:spacing w:after="120" w:line="240" w:lineRule="auto"/>
        <w:ind w:left="1077" w:hanging="357"/>
        <w:jc w:val="both"/>
        <w:outlineLvl w:val="0"/>
        <w:rPr>
          <w:b/>
          <w:color w:val="000000"/>
        </w:rPr>
      </w:pPr>
      <w:r w:rsidRPr="004E2017">
        <w:rPr>
          <w:b/>
          <w:color w:val="000000"/>
        </w:rPr>
        <w:tab/>
        <w:t xml:space="preserve">Research Question </w:t>
      </w:r>
    </w:p>
    <w:p w:rsidR="00C17CC6" w:rsidRPr="00C17CC6" w:rsidRDefault="00C17CC6" w:rsidP="00E913DD">
      <w:pPr>
        <w:tabs>
          <w:tab w:val="left" w:pos="2835"/>
          <w:tab w:val="left" w:pos="4785"/>
        </w:tabs>
        <w:spacing w:before="60" w:after="60"/>
        <w:rPr>
          <w:rFonts w:ascii="Tahoma" w:hAnsi="Tahoma" w:cs="Tahoma"/>
          <w:sz w:val="20"/>
        </w:rPr>
      </w:pPr>
      <w:r w:rsidRPr="00C17CC6">
        <w:rPr>
          <w:rFonts w:ascii="Tahoma" w:hAnsi="Tahoma" w:cs="Tahoma"/>
          <w:sz w:val="20"/>
        </w:rPr>
        <w:t>Does the calculation - and communication to GPs -of the drug burden index in elderly patients who are discharged from the Emergency Department lead to review, and where appropriate, revision of the patient’s prescribed medicines such that the patient’s drug burden is decreased?</w:t>
      </w:r>
    </w:p>
    <w:p w:rsidR="00B11E54" w:rsidRDefault="00FE720D" w:rsidP="005A6F21">
      <w:pPr>
        <w:pStyle w:val="ListParagraph"/>
        <w:numPr>
          <w:ilvl w:val="1"/>
          <w:numId w:val="6"/>
        </w:numPr>
        <w:spacing w:after="120" w:line="240" w:lineRule="auto"/>
        <w:ind w:left="1077" w:hanging="357"/>
        <w:jc w:val="both"/>
        <w:outlineLvl w:val="0"/>
        <w:rPr>
          <w:b/>
          <w:color w:val="000000"/>
        </w:rPr>
      </w:pPr>
      <w:r w:rsidRPr="004E2017">
        <w:rPr>
          <w:b/>
          <w:color w:val="000000"/>
        </w:rPr>
        <w:tab/>
        <w:t>Rationale for Current Study</w:t>
      </w:r>
    </w:p>
    <w:p w:rsidR="00434766" w:rsidRPr="00434766" w:rsidRDefault="00434766" w:rsidP="00E913DD">
      <w:pPr>
        <w:tabs>
          <w:tab w:val="left" w:pos="2835"/>
          <w:tab w:val="left" w:pos="4785"/>
        </w:tabs>
        <w:spacing w:before="60" w:after="60"/>
        <w:rPr>
          <w:rFonts w:ascii="Tahoma" w:hAnsi="Tahoma" w:cs="Tahoma"/>
          <w:sz w:val="20"/>
        </w:rPr>
      </w:pPr>
      <w:r w:rsidRPr="00434766">
        <w:rPr>
          <w:rFonts w:ascii="Tahoma" w:hAnsi="Tahoma" w:cs="Tahoma"/>
          <w:sz w:val="20"/>
        </w:rPr>
        <w:t xml:space="preserve">An ED </w:t>
      </w:r>
      <w:r w:rsidR="00E45B04">
        <w:rPr>
          <w:rFonts w:ascii="Tahoma" w:hAnsi="Tahoma" w:cs="Tahoma"/>
          <w:sz w:val="20"/>
        </w:rPr>
        <w:t>presentation</w:t>
      </w:r>
      <w:r w:rsidRPr="00434766">
        <w:rPr>
          <w:rFonts w:ascii="Tahoma" w:hAnsi="Tahoma" w:cs="Tahoma"/>
          <w:sz w:val="20"/>
        </w:rPr>
        <w:t xml:space="preserve"> is a potential opportunity to review patients’ medicines and initiate the process of prescription review: however, EDs are not currently resourced to calculate DBIs. In addition, the prescription of medications for chronic conditions is rightly viewed as the domain of General Practice.  However, many elderly patients have not had their medications reviewed or rationalised for many years and their prescriptions may no longer be appropriate, helpful or still effective. Often patients are taking multiple drugs from the same therapeutic class. GP-supervised withdrawal of inappropriate medicines (‘deprescribing’) is safe and may improve quality of life in older people. Studies indicate that over 90% of older adults would like to have a medication withdrawn. In 2015, reducing IP in the elderly was acknowledged as a priority at a national stakeholders meeting of clinicians, consumers, academics and policy makers.</w:t>
      </w:r>
    </w:p>
    <w:p w:rsidR="00BD6DB1" w:rsidRDefault="00434766" w:rsidP="00E913DD">
      <w:pPr>
        <w:tabs>
          <w:tab w:val="left" w:pos="2835"/>
          <w:tab w:val="left" w:pos="4785"/>
        </w:tabs>
        <w:spacing w:before="60" w:after="60"/>
        <w:rPr>
          <w:rFonts w:ascii="Tahoma" w:hAnsi="Tahoma" w:cs="Tahoma"/>
          <w:sz w:val="20"/>
        </w:rPr>
      </w:pPr>
      <w:r w:rsidRPr="00434766">
        <w:rPr>
          <w:rFonts w:ascii="Tahoma" w:hAnsi="Tahoma" w:cs="Tahoma"/>
          <w:sz w:val="20"/>
        </w:rPr>
        <w:t>There are a number of tools described in the medical literature that can be used to assess the drug load, or burden, borne by an individual patient. Two validated examples include the Beer’s Criteria and the more r</w:t>
      </w:r>
      <w:r w:rsidR="003D7A5D">
        <w:rPr>
          <w:rFonts w:ascii="Tahoma" w:hAnsi="Tahoma" w:cs="Tahoma"/>
          <w:sz w:val="20"/>
        </w:rPr>
        <w:t xml:space="preserve">ecent Drug Burden Index </w:t>
      </w:r>
      <w:r w:rsidR="003D7A5D" w:rsidRPr="00EC6299">
        <w:rPr>
          <w:rFonts w:ascii="Tahoma" w:hAnsi="Tahoma" w:cs="Tahoma"/>
          <w:sz w:val="20"/>
          <w:highlight w:val="yellow"/>
        </w:rPr>
        <w:t>(Hilmer et al. 2007)</w:t>
      </w:r>
      <w:r w:rsidR="00BD6DB1" w:rsidRPr="00EC6299">
        <w:rPr>
          <w:rFonts w:ascii="Tahoma" w:hAnsi="Tahoma" w:cs="Tahoma"/>
          <w:sz w:val="20"/>
          <w:highlight w:val="yellow"/>
        </w:rPr>
        <w:t>.</w:t>
      </w:r>
      <w:r w:rsidR="00BD6DB1">
        <w:rPr>
          <w:rFonts w:ascii="Tahoma" w:hAnsi="Tahoma" w:cs="Tahoma"/>
          <w:sz w:val="20"/>
        </w:rPr>
        <w:t xml:space="preserve"> </w:t>
      </w:r>
    </w:p>
    <w:p w:rsidR="00290E7E" w:rsidRPr="00EC6299" w:rsidRDefault="00BD6DB1" w:rsidP="00E913DD">
      <w:pPr>
        <w:tabs>
          <w:tab w:val="left" w:pos="2835"/>
          <w:tab w:val="left" w:pos="4785"/>
        </w:tabs>
        <w:spacing w:before="60" w:after="60"/>
        <w:rPr>
          <w:rFonts w:ascii="Tahoma" w:hAnsi="Tahoma" w:cs="Tahoma"/>
          <w:sz w:val="20"/>
          <w:highlight w:val="yellow"/>
        </w:rPr>
      </w:pPr>
      <w:r w:rsidRPr="00EC6299">
        <w:rPr>
          <w:rFonts w:ascii="Tahoma" w:hAnsi="Tahoma" w:cs="Tahoma"/>
          <w:sz w:val="20"/>
          <w:highlight w:val="yellow"/>
        </w:rPr>
        <w:t>The</w:t>
      </w:r>
      <w:r w:rsidR="003D7A5D" w:rsidRPr="00EC6299">
        <w:rPr>
          <w:rFonts w:ascii="Tahoma" w:hAnsi="Tahoma" w:cs="Tahoma"/>
          <w:sz w:val="20"/>
          <w:highlight w:val="yellow"/>
        </w:rPr>
        <w:t xml:space="preserve"> Drug Burden Index (</w:t>
      </w:r>
      <w:r w:rsidRPr="00EC6299">
        <w:rPr>
          <w:rFonts w:ascii="Tahoma" w:hAnsi="Tahoma" w:cs="Tahoma"/>
          <w:sz w:val="20"/>
          <w:highlight w:val="yellow"/>
        </w:rPr>
        <w:t>DBI</w:t>
      </w:r>
      <w:r w:rsidR="003D7A5D" w:rsidRPr="00EC6299">
        <w:rPr>
          <w:rFonts w:ascii="Tahoma" w:hAnsi="Tahoma" w:cs="Tahoma"/>
          <w:sz w:val="20"/>
          <w:highlight w:val="yellow"/>
        </w:rPr>
        <w:t>)</w:t>
      </w:r>
      <w:r w:rsidRPr="00EC6299">
        <w:rPr>
          <w:rFonts w:ascii="Tahoma" w:hAnsi="Tahoma" w:cs="Tahoma"/>
          <w:sz w:val="20"/>
          <w:highlight w:val="yellow"/>
        </w:rPr>
        <w:t xml:space="preserve"> measures the effect of cumulative exposure to both anticholinergic and sedative medications on physical and cognitive function</w:t>
      </w:r>
      <w:r w:rsidR="003D7A5D" w:rsidRPr="00EC6299">
        <w:rPr>
          <w:rFonts w:ascii="Tahoma" w:hAnsi="Tahoma" w:cs="Tahoma"/>
          <w:sz w:val="20"/>
          <w:highlight w:val="yellow"/>
        </w:rPr>
        <w:t xml:space="preserve">. </w:t>
      </w:r>
      <w:r w:rsidRPr="00EC6299">
        <w:rPr>
          <w:rFonts w:ascii="Tahoma" w:hAnsi="Tahoma" w:cs="Tahoma"/>
          <w:sz w:val="20"/>
          <w:highlight w:val="yellow"/>
        </w:rPr>
        <w:t>Higher DBI is associated with increased functional impairment, falls, lo</w:t>
      </w:r>
      <w:r w:rsidR="00775708" w:rsidRPr="00EC6299">
        <w:rPr>
          <w:rFonts w:ascii="Tahoma" w:hAnsi="Tahoma" w:cs="Tahoma"/>
          <w:sz w:val="20"/>
          <w:highlight w:val="yellow"/>
        </w:rPr>
        <w:t xml:space="preserve">ng bone </w:t>
      </w:r>
      <w:r w:rsidRPr="00EC6299">
        <w:rPr>
          <w:rFonts w:ascii="Tahoma" w:hAnsi="Tahoma" w:cs="Tahoma"/>
          <w:sz w:val="20"/>
          <w:highlight w:val="yellow"/>
        </w:rPr>
        <w:t xml:space="preserve">fractures, frailty, hospitalisation, GP </w:t>
      </w:r>
      <w:r w:rsidR="003D7A5D" w:rsidRPr="00EC6299">
        <w:rPr>
          <w:rFonts w:ascii="Tahoma" w:hAnsi="Tahoma" w:cs="Tahoma"/>
          <w:sz w:val="20"/>
          <w:highlight w:val="yellow"/>
        </w:rPr>
        <w:t>visits, morbidity and mortality (</w:t>
      </w:r>
      <w:r w:rsidR="003D7A5D" w:rsidRPr="00EC6299">
        <w:rPr>
          <w:rFonts w:ascii="Tahoma" w:hAnsi="Tahoma" w:cs="Tahoma"/>
          <w:sz w:val="20"/>
          <w:highlight w:val="yellow"/>
        </w:rPr>
        <w:fldChar w:fldCharType="begin"/>
      </w:r>
      <w:r w:rsidR="003D7A5D" w:rsidRPr="00EC6299">
        <w:rPr>
          <w:rFonts w:ascii="Tahoma" w:hAnsi="Tahoma" w:cs="Tahoma"/>
          <w:sz w:val="20"/>
          <w:highlight w:val="yellow"/>
        </w:rPr>
        <w:instrText xml:space="preserve"> REF _Ref476749679 \h </w:instrText>
      </w:r>
      <w:r w:rsidR="003D7A5D" w:rsidRPr="00EC6299">
        <w:rPr>
          <w:rFonts w:ascii="Tahoma" w:hAnsi="Tahoma" w:cs="Tahoma"/>
          <w:sz w:val="20"/>
          <w:highlight w:val="yellow"/>
        </w:rPr>
      </w:r>
      <w:r w:rsidR="00EC6299">
        <w:rPr>
          <w:rFonts w:ascii="Tahoma" w:hAnsi="Tahoma" w:cs="Tahoma"/>
          <w:sz w:val="20"/>
          <w:highlight w:val="yellow"/>
        </w:rPr>
        <w:instrText xml:space="preserve"> \* MERGEFORMAT </w:instrText>
      </w:r>
      <w:r w:rsidR="003D7A5D" w:rsidRPr="00EC6299">
        <w:rPr>
          <w:rFonts w:ascii="Tahoma" w:hAnsi="Tahoma" w:cs="Tahoma"/>
          <w:sz w:val="20"/>
          <w:highlight w:val="yellow"/>
        </w:rPr>
        <w:fldChar w:fldCharType="separate"/>
      </w:r>
      <w:r w:rsidR="004F790E" w:rsidRPr="00EC6299">
        <w:rPr>
          <w:highlight w:val="yellow"/>
        </w:rPr>
        <w:t xml:space="preserve">Figure </w:t>
      </w:r>
      <w:r w:rsidR="004F790E" w:rsidRPr="00EC6299">
        <w:rPr>
          <w:noProof/>
          <w:highlight w:val="yellow"/>
        </w:rPr>
        <w:t>1</w:t>
      </w:r>
      <w:r w:rsidR="003D7A5D" w:rsidRPr="00EC6299">
        <w:rPr>
          <w:rFonts w:ascii="Tahoma" w:hAnsi="Tahoma" w:cs="Tahoma"/>
          <w:sz w:val="20"/>
          <w:highlight w:val="yellow"/>
        </w:rPr>
        <w:fldChar w:fldCharType="end"/>
      </w:r>
      <w:r w:rsidR="003D7A5D" w:rsidRPr="00EC6299">
        <w:rPr>
          <w:rFonts w:ascii="Tahoma" w:hAnsi="Tahoma" w:cs="Tahoma"/>
          <w:sz w:val="20"/>
          <w:highlight w:val="yellow"/>
        </w:rPr>
        <w:t>).</w:t>
      </w:r>
      <w:r w:rsidR="00290E7E" w:rsidRPr="00EC6299">
        <w:rPr>
          <w:rFonts w:ascii="Tahoma" w:hAnsi="Tahoma" w:cs="Tahoma"/>
          <w:sz w:val="20"/>
          <w:highlight w:val="yellow"/>
        </w:rPr>
        <w:t xml:space="preserve"> The burden of each individual medication (B) is calculated by the following equation: </w:t>
      </w:r>
    </w:p>
    <w:p w:rsidR="00290E7E" w:rsidRPr="00EC6299" w:rsidRDefault="00290E7E" w:rsidP="00290E7E">
      <w:pPr>
        <w:tabs>
          <w:tab w:val="left" w:pos="2835"/>
          <w:tab w:val="left" w:pos="4785"/>
        </w:tabs>
        <w:spacing w:before="60" w:after="60"/>
        <w:jc w:val="center"/>
        <w:rPr>
          <w:rFonts w:ascii="Tahoma" w:eastAsia="Times New Roman" w:hAnsi="Tahoma" w:cs="Tahoma"/>
          <w:color w:val="000000"/>
          <w:sz w:val="20"/>
          <w:szCs w:val="20"/>
          <w:highlight w:val="yellow"/>
          <w:lang w:eastAsia="en-AU"/>
        </w:rPr>
      </w:pPr>
      <w:r w:rsidRPr="00EC6299">
        <w:rPr>
          <w:rFonts w:ascii="Tahoma" w:eastAsia="Times New Roman" w:hAnsi="Tahoma" w:cs="Tahoma"/>
          <w:iCs/>
          <w:color w:val="000000"/>
          <w:sz w:val="20"/>
          <w:szCs w:val="20"/>
          <w:highlight w:val="yellow"/>
          <w:lang w:eastAsia="en-AU"/>
        </w:rPr>
        <w:t xml:space="preserve">B </w:t>
      </w:r>
      <w:r w:rsidRPr="00EC6299">
        <w:rPr>
          <w:rFonts w:ascii="Tahoma" w:eastAsia="Times New Roman" w:hAnsi="Tahoma" w:cs="Tahoma"/>
          <w:color w:val="000000"/>
          <w:sz w:val="20"/>
          <w:szCs w:val="20"/>
          <w:highlight w:val="yellow"/>
          <w:lang w:eastAsia="en-AU"/>
        </w:rPr>
        <w:t>=</w:t>
      </w:r>
      <w:r w:rsidRPr="00EC6299">
        <w:rPr>
          <w:rFonts w:ascii="Tahoma" w:hAnsi="Tahoma" w:cs="Tahoma"/>
          <w:sz w:val="20"/>
          <w:highlight w:val="yellow"/>
        </w:rPr>
        <w:t xml:space="preserve"> </w:t>
      </w:r>
      <w:r w:rsidRPr="00EC6299">
        <w:rPr>
          <w:rFonts w:ascii="Tahoma" w:eastAsia="Times New Roman" w:hAnsi="Tahoma" w:cs="Tahoma"/>
          <w:iCs/>
          <w:color w:val="000000"/>
          <w:sz w:val="20"/>
          <w:szCs w:val="20"/>
          <w:highlight w:val="yellow"/>
          <w:lang w:eastAsia="en-AU"/>
        </w:rPr>
        <w:t>D</w:t>
      </w:r>
      <w:r w:rsidRPr="00EC6299">
        <w:rPr>
          <w:rFonts w:ascii="Tahoma" w:eastAsia="Times New Roman" w:hAnsi="Tahoma" w:cs="Tahoma"/>
          <w:color w:val="000000"/>
          <w:sz w:val="20"/>
          <w:szCs w:val="20"/>
          <w:highlight w:val="yellow"/>
          <w:lang w:eastAsia="en-AU"/>
        </w:rPr>
        <w:t>/(</w:t>
      </w:r>
      <w:r w:rsidRPr="00EC6299">
        <w:rPr>
          <w:rFonts w:ascii="Tahoma" w:eastAsia="Times New Roman" w:hAnsi="Tahoma" w:cs="Tahoma"/>
          <w:iCs/>
          <w:color w:val="000000"/>
          <w:sz w:val="20"/>
          <w:szCs w:val="20"/>
          <w:highlight w:val="yellow"/>
          <w:lang w:eastAsia="en-AU"/>
        </w:rPr>
        <w:t>δ</w:t>
      </w:r>
      <w:r w:rsidRPr="00EC6299">
        <w:rPr>
          <w:rFonts w:ascii="Tahoma" w:eastAsia="Times New Roman" w:hAnsi="Tahoma" w:cs="Tahoma"/>
          <w:color w:val="000000"/>
          <w:sz w:val="20"/>
          <w:szCs w:val="20"/>
          <w:highlight w:val="yellow"/>
          <w:lang w:eastAsia="en-AU"/>
        </w:rPr>
        <w:t> + </w:t>
      </w:r>
      <w:r w:rsidRPr="00EC6299">
        <w:rPr>
          <w:rFonts w:ascii="Tahoma" w:eastAsia="Times New Roman" w:hAnsi="Tahoma" w:cs="Tahoma"/>
          <w:iCs/>
          <w:color w:val="000000"/>
          <w:sz w:val="20"/>
          <w:szCs w:val="20"/>
          <w:highlight w:val="yellow"/>
          <w:lang w:eastAsia="en-AU"/>
        </w:rPr>
        <w:t>D</w:t>
      </w:r>
      <w:r w:rsidRPr="00EC6299">
        <w:rPr>
          <w:rFonts w:ascii="Tahoma" w:eastAsia="Times New Roman" w:hAnsi="Tahoma" w:cs="Tahoma"/>
          <w:color w:val="000000"/>
          <w:sz w:val="20"/>
          <w:szCs w:val="20"/>
          <w:highlight w:val="yellow"/>
          <w:lang w:eastAsia="en-AU"/>
        </w:rPr>
        <w:t>)</w:t>
      </w:r>
    </w:p>
    <w:p w:rsidR="00BD6DB1" w:rsidRPr="00EC6299" w:rsidRDefault="00290E7E" w:rsidP="00E913DD">
      <w:pPr>
        <w:tabs>
          <w:tab w:val="left" w:pos="2835"/>
          <w:tab w:val="left" w:pos="4785"/>
        </w:tabs>
        <w:spacing w:before="60" w:after="60"/>
        <w:rPr>
          <w:rFonts w:ascii="Tahoma" w:hAnsi="Tahoma" w:cs="Tahoma"/>
          <w:sz w:val="20"/>
          <w:highlight w:val="yellow"/>
        </w:rPr>
      </w:pPr>
      <w:r w:rsidRPr="00EC6299">
        <w:rPr>
          <w:rFonts w:ascii="Tahoma" w:eastAsia="Times New Roman" w:hAnsi="Tahoma" w:cs="Tahoma"/>
          <w:color w:val="000000"/>
          <w:sz w:val="20"/>
          <w:szCs w:val="20"/>
          <w:highlight w:val="yellow"/>
          <w:lang w:eastAsia="en-AU"/>
        </w:rPr>
        <w:t xml:space="preserve">where: D is the daily dose taken by the subject, and δ is the minimum efficacious daily dose. . </w:t>
      </w:r>
      <w:r w:rsidRPr="00EC6299">
        <w:rPr>
          <w:rFonts w:ascii="Arial" w:hAnsi="Arial" w:cs="Arial"/>
          <w:color w:val="333333"/>
          <w:highlight w:val="yellow"/>
          <w:shd w:val="clear" w:color="auto" w:fill="FFFFFF"/>
        </w:rPr>
        <w:t xml:space="preserve">For each medication, the drug burden can range from 0 to 1. A value of 0.5 indicates the dose to be the minimum recommended daily dose. </w:t>
      </w:r>
    </w:p>
    <w:p w:rsidR="00290E7E" w:rsidRPr="00EC6299" w:rsidRDefault="00830528" w:rsidP="00775708">
      <w:pPr>
        <w:pStyle w:val="NormalWeb"/>
        <w:shd w:val="clear" w:color="auto" w:fill="FFFFFF"/>
        <w:spacing w:before="166" w:beforeAutospacing="0" w:after="166" w:afterAutospacing="0" w:line="276" w:lineRule="auto"/>
        <w:rPr>
          <w:rFonts w:ascii="Tahoma" w:eastAsiaTheme="minorHAnsi" w:hAnsi="Tahoma" w:cs="Tahoma"/>
          <w:sz w:val="20"/>
          <w:szCs w:val="22"/>
          <w:highlight w:val="yellow"/>
          <w:lang w:eastAsia="en-US"/>
        </w:rPr>
      </w:pPr>
      <w:r w:rsidRPr="00EC6299">
        <w:rPr>
          <w:rFonts w:ascii="Tahoma" w:hAnsi="Tahoma" w:cs="Tahoma"/>
          <w:color w:val="000000"/>
          <w:sz w:val="20"/>
          <w:szCs w:val="20"/>
          <w:highlight w:val="yellow"/>
        </w:rPr>
        <w:t>The B</w:t>
      </w:r>
      <w:r w:rsidR="002D248E" w:rsidRPr="00EC6299">
        <w:rPr>
          <w:rFonts w:ascii="Tahoma" w:hAnsi="Tahoma" w:cs="Tahoma"/>
          <w:color w:val="000000"/>
          <w:sz w:val="20"/>
          <w:szCs w:val="20"/>
          <w:highlight w:val="yellow"/>
        </w:rPr>
        <w:t>urden, B, may be due to effects associated with anticholinergic drugs (</w:t>
      </w:r>
      <w:r w:rsidR="002D248E" w:rsidRPr="00EC6299">
        <w:rPr>
          <w:rFonts w:ascii="Tahoma" w:hAnsi="Tahoma" w:cs="Tahoma"/>
          <w:iCs/>
          <w:color w:val="000000"/>
          <w:sz w:val="20"/>
          <w:szCs w:val="20"/>
          <w:highlight w:val="yellow"/>
        </w:rPr>
        <w:t>B</w:t>
      </w:r>
      <w:r w:rsidR="002D248E" w:rsidRPr="00EC6299">
        <w:rPr>
          <w:rFonts w:ascii="Tahoma" w:hAnsi="Tahoma" w:cs="Tahoma"/>
          <w:color w:val="000000"/>
          <w:sz w:val="20"/>
          <w:szCs w:val="20"/>
          <w:highlight w:val="yellow"/>
          <w:vertAlign w:val="subscript"/>
        </w:rPr>
        <w:t>AC</w:t>
      </w:r>
      <w:r w:rsidR="002D248E" w:rsidRPr="00EC6299">
        <w:rPr>
          <w:rFonts w:ascii="Tahoma" w:hAnsi="Tahoma" w:cs="Tahoma"/>
          <w:color w:val="000000"/>
          <w:sz w:val="20"/>
          <w:szCs w:val="20"/>
          <w:highlight w:val="yellow"/>
        </w:rPr>
        <w:t>)</w:t>
      </w:r>
      <w:r w:rsidR="002D248E" w:rsidRPr="00EC6299">
        <w:rPr>
          <w:rFonts w:ascii="Tahoma" w:hAnsi="Tahoma" w:cs="Tahoma"/>
          <w:color w:val="000000"/>
          <w:sz w:val="20"/>
          <w:szCs w:val="20"/>
          <w:highlight w:val="yellow"/>
          <w:vertAlign w:val="subscript"/>
        </w:rPr>
        <w:t xml:space="preserve"> </w:t>
      </w:r>
      <w:r w:rsidR="002D248E" w:rsidRPr="00EC6299">
        <w:rPr>
          <w:rFonts w:ascii="Tahoma" w:hAnsi="Tahoma" w:cs="Tahoma"/>
          <w:color w:val="000000"/>
          <w:sz w:val="20"/>
          <w:szCs w:val="20"/>
          <w:highlight w:val="yellow"/>
        </w:rPr>
        <w:t>or</w:t>
      </w:r>
      <w:r w:rsidR="002D248E" w:rsidRPr="00EC6299">
        <w:rPr>
          <w:rFonts w:ascii="Tahoma" w:hAnsi="Tahoma" w:cs="Tahoma"/>
          <w:i/>
          <w:iCs/>
          <w:color w:val="000000"/>
          <w:sz w:val="20"/>
          <w:szCs w:val="20"/>
          <w:highlight w:val="yellow"/>
        </w:rPr>
        <w:t xml:space="preserve"> </w:t>
      </w:r>
      <w:r w:rsidR="002D248E" w:rsidRPr="00EC6299">
        <w:rPr>
          <w:rFonts w:ascii="Tahoma" w:hAnsi="Tahoma" w:cs="Tahoma"/>
          <w:color w:val="000000"/>
          <w:sz w:val="20"/>
          <w:szCs w:val="20"/>
          <w:highlight w:val="yellow"/>
        </w:rPr>
        <w:t xml:space="preserve">sedative drugs (Bs), respectively. </w:t>
      </w:r>
      <w:r w:rsidR="00BD6DB1" w:rsidRPr="00EC6299">
        <w:rPr>
          <w:rFonts w:ascii="Tahoma" w:hAnsi="Tahoma" w:cs="Tahoma"/>
          <w:color w:val="000000"/>
          <w:sz w:val="20"/>
          <w:szCs w:val="20"/>
          <w:highlight w:val="yellow"/>
        </w:rPr>
        <w:t>T</w:t>
      </w:r>
      <w:r w:rsidR="00B3032E" w:rsidRPr="00EC6299">
        <w:rPr>
          <w:rFonts w:ascii="Tahoma" w:hAnsi="Tahoma" w:cs="Tahoma"/>
          <w:color w:val="000000"/>
          <w:sz w:val="20"/>
          <w:szCs w:val="20"/>
          <w:highlight w:val="yellow"/>
        </w:rPr>
        <w:t>he Drug B</w:t>
      </w:r>
      <w:r w:rsidR="00BD6DB1" w:rsidRPr="00EC6299">
        <w:rPr>
          <w:rFonts w:ascii="Tahoma" w:hAnsi="Tahoma" w:cs="Tahoma"/>
          <w:color w:val="000000"/>
          <w:sz w:val="20"/>
          <w:szCs w:val="20"/>
          <w:highlight w:val="yellow"/>
        </w:rPr>
        <w:t xml:space="preserve">urden Index is </w:t>
      </w:r>
      <w:r w:rsidR="00AF18C1" w:rsidRPr="00EC6299">
        <w:rPr>
          <w:rFonts w:ascii="Tahoma" w:hAnsi="Tahoma" w:cs="Tahoma"/>
          <w:color w:val="000000"/>
          <w:sz w:val="20"/>
          <w:szCs w:val="20"/>
          <w:highlight w:val="yellow"/>
        </w:rPr>
        <w:t>defined as the sum of the burdens of the anticholinergic and sedative properties of medications</w:t>
      </w:r>
      <w:r w:rsidR="002D248E" w:rsidRPr="00EC6299">
        <w:rPr>
          <w:rFonts w:ascii="Tahoma" w:hAnsi="Tahoma" w:cs="Tahoma"/>
          <w:color w:val="000000"/>
          <w:sz w:val="20"/>
          <w:szCs w:val="20"/>
          <w:highlight w:val="yellow"/>
        </w:rPr>
        <w:t xml:space="preserve"> (Hilmer 2009)</w:t>
      </w:r>
      <w:r w:rsidR="00AF18C1" w:rsidRPr="00EC6299">
        <w:rPr>
          <w:rFonts w:ascii="Tahoma" w:hAnsi="Tahoma" w:cs="Tahoma"/>
          <w:color w:val="000000"/>
          <w:sz w:val="20"/>
          <w:szCs w:val="20"/>
          <w:highlight w:val="yellow"/>
        </w:rPr>
        <w:t xml:space="preserve">. </w:t>
      </w:r>
      <w:r w:rsidR="00BD6DB1" w:rsidRPr="00EC6299">
        <w:rPr>
          <w:rFonts w:ascii="Tahoma" w:eastAsiaTheme="minorHAnsi" w:hAnsi="Tahoma" w:cs="Tahoma"/>
          <w:sz w:val="20"/>
          <w:szCs w:val="22"/>
          <w:highlight w:val="yellow"/>
          <w:lang w:eastAsia="en-US"/>
        </w:rPr>
        <w:t>Assuming that the anticholinergic and sedative effects of different drugs are additive in a linear fashion</w:t>
      </w:r>
      <w:r w:rsidR="00775708" w:rsidRPr="00EC6299">
        <w:rPr>
          <w:rFonts w:ascii="Tahoma" w:eastAsiaTheme="minorHAnsi" w:hAnsi="Tahoma" w:cs="Tahoma"/>
          <w:sz w:val="20"/>
          <w:szCs w:val="22"/>
          <w:highlight w:val="yellow"/>
          <w:lang w:eastAsia="en-US"/>
        </w:rPr>
        <w:t>,</w:t>
      </w:r>
      <w:r w:rsidR="000F3A56" w:rsidRPr="00EC6299">
        <w:rPr>
          <w:rFonts w:ascii="Tahoma" w:eastAsiaTheme="minorHAnsi" w:hAnsi="Tahoma" w:cs="Tahoma"/>
          <w:sz w:val="20"/>
          <w:szCs w:val="22"/>
          <w:highlight w:val="yellow"/>
          <w:lang w:eastAsia="en-US"/>
        </w:rPr>
        <w:t xml:space="preserve"> </w:t>
      </w:r>
      <w:r w:rsidR="00BD6DB1" w:rsidRPr="00EC6299">
        <w:rPr>
          <w:rFonts w:ascii="Tahoma" w:eastAsiaTheme="minorHAnsi" w:hAnsi="Tahoma" w:cs="Tahoma"/>
          <w:sz w:val="20"/>
          <w:szCs w:val="22"/>
          <w:highlight w:val="yellow"/>
          <w:lang w:eastAsia="en-US"/>
        </w:rPr>
        <w:t xml:space="preserve">it </w:t>
      </w:r>
      <w:r w:rsidR="00B3032E" w:rsidRPr="00EC6299">
        <w:rPr>
          <w:rFonts w:ascii="Tahoma" w:eastAsiaTheme="minorHAnsi" w:hAnsi="Tahoma" w:cs="Tahoma"/>
          <w:sz w:val="20"/>
          <w:szCs w:val="22"/>
          <w:highlight w:val="yellow"/>
          <w:lang w:eastAsia="en-US"/>
        </w:rPr>
        <w:t>is</w:t>
      </w:r>
      <w:r w:rsidR="00BD6DB1" w:rsidRPr="00EC6299">
        <w:rPr>
          <w:rFonts w:ascii="Tahoma" w:eastAsiaTheme="minorHAnsi" w:hAnsi="Tahoma" w:cs="Tahoma"/>
          <w:sz w:val="20"/>
          <w:szCs w:val="22"/>
          <w:highlight w:val="yellow"/>
          <w:lang w:eastAsia="en-US"/>
        </w:rPr>
        <w:t xml:space="preserve"> postulated that B</w:t>
      </w:r>
      <w:r w:rsidR="00B3032E" w:rsidRPr="00EC6299">
        <w:rPr>
          <w:color w:val="000000"/>
          <w:sz w:val="20"/>
          <w:szCs w:val="20"/>
          <w:highlight w:val="yellow"/>
          <w:vertAlign w:val="subscript"/>
        </w:rPr>
        <w:t>AC</w:t>
      </w:r>
      <w:r w:rsidR="000F3A56" w:rsidRPr="00EC6299">
        <w:rPr>
          <w:rFonts w:ascii="Tahoma" w:eastAsiaTheme="minorHAnsi" w:hAnsi="Tahoma" w:cs="Tahoma"/>
          <w:sz w:val="20"/>
          <w:szCs w:val="22"/>
          <w:highlight w:val="yellow"/>
          <w:lang w:eastAsia="en-US"/>
        </w:rPr>
        <w:t xml:space="preserve"> a</w:t>
      </w:r>
      <w:r w:rsidR="00BD6DB1" w:rsidRPr="00EC6299">
        <w:rPr>
          <w:rFonts w:ascii="Tahoma" w:eastAsiaTheme="minorHAnsi" w:hAnsi="Tahoma" w:cs="Tahoma"/>
          <w:sz w:val="20"/>
          <w:szCs w:val="22"/>
          <w:highlight w:val="yellow"/>
          <w:lang w:eastAsia="en-US"/>
        </w:rPr>
        <w:t>nd B</w:t>
      </w:r>
      <w:r w:rsidR="00B3032E" w:rsidRPr="00EC6299">
        <w:rPr>
          <w:color w:val="000000"/>
          <w:sz w:val="20"/>
          <w:szCs w:val="20"/>
          <w:highlight w:val="yellow"/>
          <w:vertAlign w:val="subscript"/>
        </w:rPr>
        <w:t>S</w:t>
      </w:r>
      <w:r w:rsidR="000F3A56" w:rsidRPr="00EC6299">
        <w:rPr>
          <w:rFonts w:ascii="Tahoma" w:eastAsiaTheme="minorHAnsi" w:hAnsi="Tahoma" w:cs="Tahoma"/>
          <w:sz w:val="20"/>
          <w:szCs w:val="22"/>
          <w:highlight w:val="yellow"/>
          <w:lang w:eastAsia="en-US"/>
        </w:rPr>
        <w:t xml:space="preserve"> </w:t>
      </w:r>
      <w:r w:rsidR="00B3032E" w:rsidRPr="00EC6299">
        <w:rPr>
          <w:rFonts w:ascii="Tahoma" w:eastAsiaTheme="minorHAnsi" w:hAnsi="Tahoma" w:cs="Tahoma"/>
          <w:sz w:val="20"/>
          <w:szCs w:val="22"/>
          <w:highlight w:val="yellow"/>
          <w:lang w:eastAsia="en-US"/>
        </w:rPr>
        <w:t>are</w:t>
      </w:r>
      <w:r w:rsidR="00BD6DB1" w:rsidRPr="00EC6299">
        <w:rPr>
          <w:rFonts w:ascii="Tahoma" w:eastAsiaTheme="minorHAnsi" w:hAnsi="Tahoma" w:cs="Tahoma"/>
          <w:sz w:val="20"/>
          <w:szCs w:val="22"/>
          <w:highlight w:val="yellow"/>
          <w:lang w:eastAsia="en-US"/>
        </w:rPr>
        <w:t xml:space="preserve"> proportional to a linear additive </w:t>
      </w:r>
      <w:r w:rsidR="00290E7E" w:rsidRPr="00EC6299">
        <w:rPr>
          <w:rFonts w:ascii="Tahoma" w:eastAsiaTheme="minorHAnsi" w:hAnsi="Tahoma" w:cs="Tahoma"/>
          <w:sz w:val="20"/>
          <w:szCs w:val="22"/>
          <w:highlight w:val="yellow"/>
          <w:lang w:eastAsia="en-US"/>
        </w:rPr>
        <w:t xml:space="preserve">model of pharmacological effect. Therefore, </w:t>
      </w:r>
    </w:p>
    <w:p w:rsidR="00290E7E" w:rsidRPr="00EC6299" w:rsidRDefault="00290E7E" w:rsidP="00290E7E">
      <w:pPr>
        <w:pStyle w:val="NormalWeb"/>
        <w:shd w:val="clear" w:color="auto" w:fill="FFFFFF"/>
        <w:spacing w:before="166" w:beforeAutospacing="0" w:after="166" w:afterAutospacing="0" w:line="276" w:lineRule="auto"/>
        <w:jc w:val="center"/>
        <w:rPr>
          <w:rFonts w:ascii="Tahoma" w:hAnsi="Tahoma" w:cs="Tahoma"/>
          <w:color w:val="000000"/>
          <w:sz w:val="20"/>
          <w:szCs w:val="20"/>
          <w:highlight w:val="yellow"/>
        </w:rPr>
      </w:pPr>
      <w:r w:rsidRPr="00EC6299">
        <w:rPr>
          <w:rFonts w:ascii="Tahoma" w:eastAsiaTheme="minorHAnsi" w:hAnsi="Tahoma" w:cs="Tahoma"/>
          <w:sz w:val="20"/>
          <w:szCs w:val="22"/>
          <w:highlight w:val="yellow"/>
          <w:lang w:eastAsia="en-US"/>
        </w:rPr>
        <w:t>Total Drug Burden</w:t>
      </w:r>
      <w:r w:rsidR="00411578" w:rsidRPr="00EC6299">
        <w:rPr>
          <w:rFonts w:ascii="Tahoma" w:eastAsiaTheme="minorHAnsi" w:hAnsi="Tahoma" w:cs="Tahoma"/>
          <w:sz w:val="20"/>
          <w:szCs w:val="22"/>
          <w:highlight w:val="yellow"/>
          <w:lang w:eastAsia="en-US"/>
        </w:rPr>
        <w:t xml:space="preserve"> (DBI)</w:t>
      </w:r>
      <w:r w:rsidRPr="00EC6299">
        <w:rPr>
          <w:rFonts w:ascii="Tahoma" w:eastAsiaTheme="minorHAnsi" w:hAnsi="Tahoma" w:cs="Tahoma"/>
          <w:sz w:val="20"/>
          <w:szCs w:val="22"/>
          <w:highlight w:val="yellow"/>
          <w:lang w:eastAsia="en-US"/>
        </w:rPr>
        <w:t xml:space="preserve"> = </w:t>
      </w:r>
      <w:r w:rsidRPr="00EC6299">
        <w:rPr>
          <w:rFonts w:ascii="Tahoma" w:hAnsi="Tahoma" w:cs="Tahoma"/>
          <w:i/>
          <w:iCs/>
          <w:color w:val="000000"/>
          <w:sz w:val="20"/>
          <w:szCs w:val="20"/>
          <w:highlight w:val="yellow"/>
        </w:rPr>
        <w:t>B</w:t>
      </w:r>
      <w:r w:rsidRPr="00EC6299">
        <w:rPr>
          <w:rFonts w:ascii="Tahoma" w:hAnsi="Tahoma" w:cs="Tahoma"/>
          <w:color w:val="000000"/>
          <w:sz w:val="20"/>
          <w:szCs w:val="20"/>
          <w:highlight w:val="yellow"/>
          <w:vertAlign w:val="subscript"/>
        </w:rPr>
        <w:t>AC</w:t>
      </w:r>
      <w:r w:rsidRPr="00EC6299">
        <w:rPr>
          <w:rFonts w:ascii="Tahoma" w:hAnsi="Tahoma" w:cs="Tahoma"/>
          <w:color w:val="000000"/>
          <w:sz w:val="20"/>
          <w:szCs w:val="20"/>
          <w:highlight w:val="yellow"/>
        </w:rPr>
        <w:t> +</w:t>
      </w:r>
      <w:r w:rsidRPr="00EC6299">
        <w:rPr>
          <w:rFonts w:ascii="Tahoma" w:hAnsi="Tahoma" w:cs="Tahoma"/>
          <w:i/>
          <w:iCs/>
          <w:color w:val="000000"/>
          <w:sz w:val="20"/>
          <w:szCs w:val="20"/>
          <w:highlight w:val="yellow"/>
        </w:rPr>
        <w:t xml:space="preserve"> B</w:t>
      </w:r>
      <w:r w:rsidRPr="00EC6299">
        <w:rPr>
          <w:rFonts w:ascii="Tahoma" w:hAnsi="Tahoma" w:cs="Tahoma"/>
          <w:color w:val="000000"/>
          <w:sz w:val="20"/>
          <w:szCs w:val="20"/>
          <w:highlight w:val="yellow"/>
          <w:vertAlign w:val="subscript"/>
        </w:rPr>
        <w:t>S</w:t>
      </w:r>
    </w:p>
    <w:p w:rsidR="00411578" w:rsidRPr="00EC6299" w:rsidRDefault="00290E7E" w:rsidP="00411578">
      <w:pPr>
        <w:shd w:val="clear" w:color="auto" w:fill="FFFFFF"/>
        <w:spacing w:before="166" w:after="166"/>
        <w:rPr>
          <w:rFonts w:ascii="Tahoma" w:hAnsi="Tahoma" w:cs="Tahoma"/>
          <w:color w:val="000000"/>
          <w:sz w:val="20"/>
          <w:szCs w:val="20"/>
          <w:highlight w:val="yellow"/>
        </w:rPr>
      </w:pPr>
      <w:r w:rsidRPr="00EC6299">
        <w:rPr>
          <w:rFonts w:ascii="Tahoma" w:hAnsi="Tahoma" w:cs="Tahoma"/>
          <w:color w:val="000000"/>
          <w:sz w:val="20"/>
          <w:szCs w:val="20"/>
          <w:highlight w:val="yellow"/>
        </w:rPr>
        <w:t xml:space="preserve">where: </w:t>
      </w:r>
      <w:r w:rsidRPr="00EC6299">
        <w:rPr>
          <w:rFonts w:ascii="Tahoma" w:hAnsi="Tahoma" w:cs="Tahoma"/>
          <w:i/>
          <w:iCs/>
          <w:color w:val="000000"/>
          <w:sz w:val="20"/>
          <w:szCs w:val="20"/>
          <w:highlight w:val="yellow"/>
        </w:rPr>
        <w:t>B</w:t>
      </w:r>
      <w:r w:rsidRPr="00EC6299">
        <w:rPr>
          <w:rFonts w:ascii="Tahoma" w:hAnsi="Tahoma" w:cs="Tahoma"/>
          <w:color w:val="000000"/>
          <w:sz w:val="20"/>
          <w:szCs w:val="20"/>
          <w:highlight w:val="yellow"/>
          <w:vertAlign w:val="subscript"/>
        </w:rPr>
        <w:t>AC</w:t>
      </w:r>
      <w:r w:rsidRPr="00EC6299">
        <w:rPr>
          <w:rFonts w:ascii="Tahoma" w:hAnsi="Tahoma" w:cs="Tahoma"/>
          <w:color w:val="000000"/>
          <w:sz w:val="20"/>
          <w:szCs w:val="20"/>
          <w:highlight w:val="yellow"/>
        </w:rPr>
        <w:t> and </w:t>
      </w:r>
      <w:r w:rsidRPr="00EC6299">
        <w:rPr>
          <w:rFonts w:ascii="Tahoma" w:hAnsi="Tahoma" w:cs="Tahoma"/>
          <w:i/>
          <w:iCs/>
          <w:color w:val="000000"/>
          <w:sz w:val="20"/>
          <w:szCs w:val="20"/>
          <w:highlight w:val="yellow"/>
        </w:rPr>
        <w:t>B</w:t>
      </w:r>
      <w:r w:rsidRPr="00EC6299">
        <w:rPr>
          <w:rFonts w:ascii="Tahoma" w:hAnsi="Tahoma" w:cs="Tahoma"/>
          <w:color w:val="000000"/>
          <w:sz w:val="20"/>
          <w:szCs w:val="20"/>
          <w:highlight w:val="yellow"/>
          <w:vertAlign w:val="subscript"/>
        </w:rPr>
        <w:t>S</w:t>
      </w:r>
      <w:r w:rsidRPr="00EC6299">
        <w:rPr>
          <w:rFonts w:ascii="Tahoma" w:hAnsi="Tahoma" w:cs="Tahoma"/>
          <w:color w:val="000000"/>
          <w:sz w:val="20"/>
          <w:szCs w:val="20"/>
          <w:highlight w:val="yellow"/>
        </w:rPr>
        <w:t> each represent the linear additive sum </w:t>
      </w:r>
      <w:r w:rsidRPr="00EC6299">
        <w:rPr>
          <w:rFonts w:ascii="Tahoma" w:hAnsi="Tahoma" w:cs="Tahoma"/>
          <w:i/>
          <w:iCs/>
          <w:color w:val="000000"/>
          <w:sz w:val="20"/>
          <w:szCs w:val="20"/>
          <w:highlight w:val="yellow"/>
        </w:rPr>
        <w:t>o</w:t>
      </w:r>
      <w:r w:rsidRPr="00EC6299">
        <w:rPr>
          <w:rFonts w:ascii="Tahoma" w:hAnsi="Tahoma" w:cs="Tahoma"/>
          <w:color w:val="000000"/>
          <w:sz w:val="20"/>
          <w:szCs w:val="20"/>
          <w:highlight w:val="yellow"/>
        </w:rPr>
        <w:t>f </w:t>
      </w:r>
      <w:r w:rsidRPr="00EC6299">
        <w:rPr>
          <w:rFonts w:ascii="Tahoma" w:hAnsi="Tahoma" w:cs="Tahoma"/>
          <w:i/>
          <w:iCs/>
          <w:color w:val="000000"/>
          <w:sz w:val="20"/>
          <w:szCs w:val="20"/>
          <w:highlight w:val="yellow"/>
        </w:rPr>
        <w:t>D</w:t>
      </w:r>
      <w:r w:rsidRPr="00EC6299">
        <w:rPr>
          <w:rFonts w:ascii="Tahoma" w:hAnsi="Tahoma" w:cs="Tahoma"/>
          <w:color w:val="000000"/>
          <w:sz w:val="20"/>
          <w:szCs w:val="20"/>
          <w:highlight w:val="yellow"/>
        </w:rPr>
        <w:t>/(</w:t>
      </w:r>
      <w:r w:rsidRPr="00EC6299">
        <w:rPr>
          <w:rFonts w:ascii="Tahoma" w:hAnsi="Tahoma" w:cs="Tahoma"/>
          <w:i/>
          <w:iCs/>
          <w:color w:val="000000"/>
          <w:sz w:val="20"/>
          <w:szCs w:val="20"/>
          <w:highlight w:val="yellow"/>
        </w:rPr>
        <w:t>δ</w:t>
      </w:r>
      <w:r w:rsidRPr="00EC6299">
        <w:rPr>
          <w:rFonts w:ascii="Tahoma" w:hAnsi="Tahoma" w:cs="Tahoma"/>
          <w:color w:val="000000"/>
          <w:sz w:val="20"/>
          <w:szCs w:val="20"/>
          <w:highlight w:val="yellow"/>
        </w:rPr>
        <w:t> + </w:t>
      </w:r>
      <w:r w:rsidRPr="00EC6299">
        <w:rPr>
          <w:rFonts w:ascii="Tahoma" w:hAnsi="Tahoma" w:cs="Tahoma"/>
          <w:i/>
          <w:iCs/>
          <w:color w:val="000000"/>
          <w:sz w:val="20"/>
          <w:szCs w:val="20"/>
          <w:highlight w:val="yellow"/>
        </w:rPr>
        <w:t>D</w:t>
      </w:r>
      <w:r w:rsidRPr="00EC6299">
        <w:rPr>
          <w:rFonts w:ascii="Tahoma" w:hAnsi="Tahoma" w:cs="Tahoma"/>
          <w:color w:val="000000"/>
          <w:sz w:val="20"/>
          <w:szCs w:val="20"/>
          <w:highlight w:val="yellow"/>
        </w:rPr>
        <w:t>) for every anticholinergic or sedative</w:t>
      </w:r>
      <w:r w:rsidR="002D248E" w:rsidRPr="00EC6299">
        <w:rPr>
          <w:rFonts w:ascii="Tahoma" w:hAnsi="Tahoma" w:cs="Tahoma"/>
          <w:color w:val="000000"/>
          <w:sz w:val="20"/>
          <w:szCs w:val="20"/>
          <w:highlight w:val="yellow"/>
        </w:rPr>
        <w:t xml:space="preserve"> </w:t>
      </w:r>
      <w:r w:rsidRPr="00EC6299">
        <w:rPr>
          <w:rFonts w:ascii="Tahoma" w:hAnsi="Tahoma" w:cs="Tahoma"/>
          <w:color w:val="000000"/>
          <w:sz w:val="20"/>
          <w:szCs w:val="20"/>
          <w:highlight w:val="yellow"/>
        </w:rPr>
        <w:t>drug to which the subject is exposed.</w:t>
      </w:r>
      <w:r w:rsidR="00411578" w:rsidRPr="00EC6299">
        <w:rPr>
          <w:rFonts w:ascii="Tahoma" w:hAnsi="Tahoma" w:cs="Tahoma"/>
          <w:color w:val="000000"/>
          <w:sz w:val="20"/>
          <w:szCs w:val="20"/>
          <w:highlight w:val="yellow"/>
        </w:rPr>
        <w:t xml:space="preserve"> </w:t>
      </w:r>
    </w:p>
    <w:p w:rsidR="00411578" w:rsidRPr="00EC6299" w:rsidRDefault="00411578" w:rsidP="00411578">
      <w:pPr>
        <w:shd w:val="clear" w:color="auto" w:fill="FFFFFF"/>
        <w:spacing w:before="166" w:after="166"/>
        <w:rPr>
          <w:rFonts w:ascii="Tahoma" w:eastAsia="Times New Roman" w:hAnsi="Tahoma" w:cs="Tahoma"/>
          <w:color w:val="000000"/>
          <w:sz w:val="20"/>
          <w:szCs w:val="20"/>
          <w:highlight w:val="yellow"/>
          <w:lang w:eastAsia="en-AU"/>
        </w:rPr>
      </w:pPr>
      <w:r w:rsidRPr="00EC6299">
        <w:rPr>
          <w:rFonts w:ascii="Tahoma" w:eastAsia="Times New Roman" w:hAnsi="Tahoma" w:cs="Tahoma"/>
          <w:color w:val="000000"/>
          <w:sz w:val="20"/>
          <w:szCs w:val="20"/>
          <w:highlight w:val="yellow"/>
          <w:lang w:eastAsia="en-AU"/>
        </w:rPr>
        <w:t xml:space="preserve">And: D is the daily dose taken by the subject: </w:t>
      </w:r>
    </w:p>
    <w:p w:rsidR="00411578" w:rsidRPr="00EC6299" w:rsidRDefault="00411578" w:rsidP="00411578">
      <w:pPr>
        <w:shd w:val="clear" w:color="auto" w:fill="FFFFFF"/>
        <w:spacing w:before="166" w:after="166"/>
        <w:rPr>
          <w:rFonts w:ascii="Tahoma" w:eastAsia="Times New Roman" w:hAnsi="Tahoma" w:cs="Tahoma"/>
          <w:color w:val="000000"/>
          <w:sz w:val="20"/>
          <w:szCs w:val="20"/>
          <w:highlight w:val="yellow"/>
          <w:lang w:eastAsia="en-AU"/>
        </w:rPr>
      </w:pPr>
      <w:r w:rsidRPr="00EC6299">
        <w:rPr>
          <w:rFonts w:ascii="Tahoma" w:eastAsia="Times New Roman" w:hAnsi="Tahoma" w:cs="Tahoma"/>
          <w:color w:val="000000"/>
          <w:sz w:val="20"/>
          <w:szCs w:val="20"/>
          <w:highlight w:val="yellow"/>
          <w:lang w:eastAsia="en-AU"/>
        </w:rPr>
        <w:t>and δ is the minimum efficacious daily dose.</w:t>
      </w:r>
    </w:p>
    <w:p w:rsidR="00411578" w:rsidRDefault="00411578" w:rsidP="00411578">
      <w:pPr>
        <w:tabs>
          <w:tab w:val="left" w:pos="2835"/>
          <w:tab w:val="left" w:pos="4785"/>
        </w:tabs>
        <w:spacing w:before="60" w:after="60"/>
        <w:rPr>
          <w:rFonts w:ascii="Arial" w:hAnsi="Arial" w:cs="Arial"/>
          <w:color w:val="333333"/>
          <w:shd w:val="clear" w:color="auto" w:fill="FFFFFF"/>
        </w:rPr>
      </w:pPr>
      <w:r w:rsidRPr="00EC6299">
        <w:rPr>
          <w:rFonts w:ascii="Tahoma" w:hAnsi="Tahoma" w:cs="Tahoma"/>
          <w:sz w:val="20"/>
          <w:highlight w:val="yellow"/>
        </w:rPr>
        <w:t xml:space="preserve">DBI results can be categorised as low-, medium-, or high-range. The latter two categories are associated with the most adverse effects and indicate that the patient’s prescribed medications should </w:t>
      </w:r>
      <w:r w:rsidRPr="00EC6299">
        <w:rPr>
          <w:rFonts w:ascii="Tahoma" w:hAnsi="Tahoma" w:cs="Tahoma"/>
          <w:sz w:val="20"/>
          <w:highlight w:val="yellow"/>
        </w:rPr>
        <w:lastRenderedPageBreak/>
        <w:t xml:space="preserve">be reviewed with the aim of removing unnecessary medications and making other adjustments as appropriate. </w:t>
      </w:r>
      <w:r w:rsidRPr="00EC6299">
        <w:rPr>
          <w:rFonts w:ascii="Arial" w:hAnsi="Arial" w:cs="Arial"/>
          <w:color w:val="333333"/>
          <w:highlight w:val="yellow"/>
          <w:shd w:val="clear" w:color="auto" w:fill="FFFFFF"/>
        </w:rPr>
        <w:t>For this study, a low (individual) drug burden is defined as &lt;0.5, a ‘medium’ is defined as between 0.51 and 1.0 and high drug burden is defined as ≥ 1.01.</w:t>
      </w:r>
      <w:r>
        <w:rPr>
          <w:rFonts w:ascii="Arial" w:hAnsi="Arial" w:cs="Arial"/>
          <w:color w:val="333333"/>
          <w:shd w:val="clear" w:color="auto" w:fill="FFFFFF"/>
        </w:rPr>
        <w:t xml:space="preserve"> </w:t>
      </w:r>
    </w:p>
    <w:p w:rsidR="00411578" w:rsidRDefault="00411578" w:rsidP="00411578">
      <w:pPr>
        <w:tabs>
          <w:tab w:val="left" w:pos="2835"/>
          <w:tab w:val="left" w:pos="4785"/>
        </w:tabs>
        <w:spacing w:before="60" w:after="60"/>
        <w:rPr>
          <w:rFonts w:ascii="Tahoma" w:hAnsi="Tahoma" w:cs="Tahoma"/>
          <w:sz w:val="20"/>
        </w:rPr>
      </w:pPr>
      <w:r w:rsidRPr="00434766">
        <w:rPr>
          <w:rFonts w:ascii="Tahoma" w:hAnsi="Tahoma" w:cs="Tahoma"/>
          <w:sz w:val="20"/>
        </w:rPr>
        <w:t>This project will apply the DBI to quantify the ‘load’ or burden of medications that have been associated with multiple ED presenting problems. The DBI is readily calculated in a clinical setting in approximately twenty minutes and will soon</w:t>
      </w:r>
      <w:r>
        <w:rPr>
          <w:rFonts w:ascii="Tahoma" w:hAnsi="Tahoma" w:cs="Tahoma"/>
          <w:sz w:val="20"/>
        </w:rPr>
        <w:t xml:space="preserve"> be accessible online State-</w:t>
      </w:r>
      <w:r w:rsidRPr="00434766">
        <w:rPr>
          <w:rFonts w:ascii="Tahoma" w:hAnsi="Tahoma" w:cs="Tahoma"/>
          <w:sz w:val="20"/>
        </w:rPr>
        <w:t xml:space="preserve">wide in hospital patient tracking systems eg eMR, eMM. </w:t>
      </w:r>
    </w:p>
    <w:p w:rsidR="00BD6DB1" w:rsidRPr="00B3032E" w:rsidRDefault="00BD6DB1" w:rsidP="00775708">
      <w:pPr>
        <w:pStyle w:val="NormalWeb"/>
        <w:shd w:val="clear" w:color="auto" w:fill="FFFFFF"/>
        <w:spacing w:before="166" w:beforeAutospacing="0" w:after="166" w:afterAutospacing="0" w:line="276" w:lineRule="auto"/>
        <w:rPr>
          <w:rFonts w:ascii="Tahoma" w:eastAsiaTheme="minorHAnsi" w:hAnsi="Tahoma" w:cs="Tahoma"/>
          <w:sz w:val="20"/>
          <w:szCs w:val="22"/>
          <w:lang w:eastAsia="en-US"/>
        </w:rPr>
      </w:pPr>
    </w:p>
    <w:p w:rsidR="000F3A56" w:rsidRDefault="000F3A56" w:rsidP="000F3A56">
      <w:pPr>
        <w:keepNext/>
        <w:tabs>
          <w:tab w:val="left" w:pos="2835"/>
          <w:tab w:val="left" w:pos="4785"/>
        </w:tabs>
        <w:spacing w:before="60" w:after="60"/>
      </w:pPr>
      <w:r w:rsidRPr="00EC6299">
        <w:rPr>
          <w:noProof/>
          <w:highlight w:val="yellow"/>
          <w:lang w:eastAsia="en-AU"/>
        </w:rPr>
        <w:drawing>
          <wp:inline distT="0" distB="0" distL="0" distR="0" wp14:anchorId="01345925" wp14:editId="504C9D82">
            <wp:extent cx="5806690" cy="2752253"/>
            <wp:effectExtent l="0" t="0" r="3810" b="0"/>
            <wp:docPr id="2" name="Picture 2" descr="https://www.ncbi.nlm.nih.gov/corecgi/tileshop/tileshop.fcgi?p=PMC3&amp;id=229768&amp;s=47&amp;r=1&am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ncbi.nlm.nih.gov/corecgi/tileshop/tileshop.fcgi?p=PMC3&amp;id=229768&amp;s=47&amp;r=1&amp;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06924" cy="2752364"/>
                    </a:xfrm>
                    <a:prstGeom prst="rect">
                      <a:avLst/>
                    </a:prstGeom>
                    <a:noFill/>
                    <a:ln>
                      <a:noFill/>
                    </a:ln>
                  </pic:spPr>
                </pic:pic>
              </a:graphicData>
            </a:graphic>
          </wp:inline>
        </w:drawing>
      </w:r>
    </w:p>
    <w:p w:rsidR="00BD6DB1" w:rsidRPr="00434766" w:rsidRDefault="000F3A56" w:rsidP="000F3A56">
      <w:pPr>
        <w:pStyle w:val="Caption"/>
        <w:rPr>
          <w:rFonts w:ascii="Tahoma" w:hAnsi="Tahoma" w:cs="Tahoma"/>
          <w:sz w:val="20"/>
        </w:rPr>
      </w:pPr>
      <w:bookmarkStart w:id="0" w:name="_Ref476749679"/>
      <w:r>
        <w:t xml:space="preserve">Figure </w:t>
      </w:r>
      <w:r w:rsidR="008F2969">
        <w:fldChar w:fldCharType="begin"/>
      </w:r>
      <w:r w:rsidR="008F2969">
        <w:instrText xml:space="preserve"> SEQ Figure \* ARABIC </w:instrText>
      </w:r>
      <w:r w:rsidR="008F2969">
        <w:fldChar w:fldCharType="separate"/>
      </w:r>
      <w:r w:rsidR="004F790E">
        <w:rPr>
          <w:noProof/>
        </w:rPr>
        <w:t>1</w:t>
      </w:r>
      <w:r w:rsidR="008F2969">
        <w:rPr>
          <w:noProof/>
        </w:rPr>
        <w:fldChar w:fldCharType="end"/>
      </w:r>
      <w:bookmarkEnd w:id="0"/>
      <w:r>
        <w:t>. Summary of aspects of the DBI (from Kouladjian et al 2014)</w:t>
      </w:r>
    </w:p>
    <w:p w:rsidR="00434766" w:rsidRDefault="00434766" w:rsidP="00E913DD">
      <w:pPr>
        <w:tabs>
          <w:tab w:val="left" w:pos="2835"/>
          <w:tab w:val="left" w:pos="4785"/>
        </w:tabs>
        <w:spacing w:before="60" w:after="60"/>
        <w:rPr>
          <w:rFonts w:ascii="Tahoma" w:hAnsi="Tahoma" w:cs="Tahoma"/>
          <w:sz w:val="20"/>
        </w:rPr>
      </w:pPr>
      <w:r w:rsidRPr="00434766">
        <w:rPr>
          <w:rFonts w:ascii="Tahoma" w:hAnsi="Tahoma" w:cs="Tahoma"/>
          <w:sz w:val="20"/>
        </w:rPr>
        <w:t xml:space="preserve">We will calculate a DBI for all elderly patients who present to the ED prior to their discharge home. All patients discharged from Australian EDs are required to be given a Discharge Referral Note (DRN) documenting their ED assessment and treatment. The DRN is also transmitted electronically </w:t>
      </w:r>
      <w:r w:rsidR="00411578">
        <w:rPr>
          <w:rFonts w:ascii="Tahoma" w:hAnsi="Tahoma" w:cs="Tahoma"/>
          <w:sz w:val="20"/>
        </w:rPr>
        <w:t xml:space="preserve">to the patient’s nominated GP and it </w:t>
      </w:r>
      <w:r w:rsidRPr="00434766">
        <w:rPr>
          <w:rFonts w:ascii="Tahoma" w:hAnsi="Tahoma" w:cs="Tahoma"/>
          <w:sz w:val="20"/>
        </w:rPr>
        <w:t>is feasible to e-attach the ED-calculated DBI to the patient DRN. We will follow-up consenting patients by telephone one month and six months after their discharge from ED to ascertain whether their GPs have acted upon the DBI information in their patients’ DRN. We will then attempt to re-calculate repeat DBIs to compare against the ED-calculated value, and thus gain insights into how effective and sustainable the DBI/DRN approach is in influencing GP prescribing behaviour.</w:t>
      </w:r>
    </w:p>
    <w:p w:rsidR="008A2155" w:rsidRPr="00434766" w:rsidRDefault="008A2155" w:rsidP="00E913DD">
      <w:pPr>
        <w:tabs>
          <w:tab w:val="left" w:pos="2835"/>
          <w:tab w:val="left" w:pos="4785"/>
        </w:tabs>
        <w:spacing w:before="60" w:after="60"/>
        <w:rPr>
          <w:rFonts w:ascii="Tahoma" w:hAnsi="Tahoma" w:cs="Tahoma"/>
          <w:sz w:val="20"/>
        </w:rPr>
      </w:pPr>
    </w:p>
    <w:p w:rsidR="00FE720D" w:rsidRPr="004E2017" w:rsidRDefault="00FE720D" w:rsidP="005A6F21">
      <w:pPr>
        <w:pStyle w:val="Heading1"/>
        <w:numPr>
          <w:ilvl w:val="0"/>
          <w:numId w:val="7"/>
        </w:numPr>
        <w:spacing w:after="120"/>
      </w:pPr>
      <w:r w:rsidRPr="004E2017">
        <w:t xml:space="preserve">STUDY OBJECTIVES </w:t>
      </w:r>
    </w:p>
    <w:p w:rsidR="00FE720D" w:rsidRDefault="00FE720D" w:rsidP="00C17CC6">
      <w:pPr>
        <w:pStyle w:val="ListParagraph"/>
        <w:numPr>
          <w:ilvl w:val="1"/>
          <w:numId w:val="7"/>
        </w:numPr>
        <w:spacing w:after="120"/>
        <w:jc w:val="both"/>
        <w:rPr>
          <w:b/>
          <w:color w:val="000000"/>
        </w:rPr>
      </w:pPr>
      <w:r w:rsidRPr="004E2017">
        <w:rPr>
          <w:b/>
          <w:color w:val="000000"/>
        </w:rPr>
        <w:t>Primary Objective</w:t>
      </w:r>
    </w:p>
    <w:p w:rsidR="00C17CC6" w:rsidRPr="00E913DD" w:rsidRDefault="00C17CC6" w:rsidP="00E913DD">
      <w:pPr>
        <w:tabs>
          <w:tab w:val="left" w:pos="2835"/>
          <w:tab w:val="left" w:pos="4785"/>
        </w:tabs>
        <w:spacing w:before="60" w:after="60"/>
        <w:rPr>
          <w:rFonts w:ascii="Tahoma" w:hAnsi="Tahoma" w:cs="Tahoma"/>
          <w:sz w:val="20"/>
        </w:rPr>
      </w:pPr>
      <w:r w:rsidRPr="00E913DD">
        <w:rPr>
          <w:rFonts w:ascii="Tahoma" w:hAnsi="Tahoma" w:cs="Tahoma"/>
          <w:sz w:val="20"/>
        </w:rPr>
        <w:t>To demonstrate that inappropriate polypharmacy in elderly patients can be reduced by effectively communicating to GPs the burden of toxic and/or unnecessary medications being taken by their patients.</w:t>
      </w:r>
    </w:p>
    <w:p w:rsidR="00C17CC6" w:rsidRPr="004E2017" w:rsidRDefault="00C17CC6" w:rsidP="00C17CC6">
      <w:pPr>
        <w:pStyle w:val="ListParagraph"/>
        <w:spacing w:after="120" w:line="240" w:lineRule="auto"/>
        <w:ind w:left="0"/>
        <w:jc w:val="both"/>
        <w:rPr>
          <w:b/>
          <w:color w:val="000000"/>
        </w:rPr>
      </w:pPr>
    </w:p>
    <w:p w:rsidR="00FE720D" w:rsidRDefault="00FE720D" w:rsidP="005A6F21">
      <w:pPr>
        <w:pStyle w:val="ListParagraph"/>
        <w:numPr>
          <w:ilvl w:val="1"/>
          <w:numId w:val="7"/>
        </w:numPr>
        <w:spacing w:after="120" w:line="240" w:lineRule="auto"/>
        <w:jc w:val="both"/>
        <w:rPr>
          <w:b/>
          <w:color w:val="000000"/>
        </w:rPr>
      </w:pPr>
      <w:r w:rsidRPr="004E2017">
        <w:rPr>
          <w:b/>
          <w:color w:val="000000"/>
        </w:rPr>
        <w:t>Secondary Objectives</w:t>
      </w:r>
    </w:p>
    <w:p w:rsidR="00226EEB" w:rsidRPr="00EF3FCC" w:rsidRDefault="00226EEB" w:rsidP="00EF3FCC">
      <w:pPr>
        <w:tabs>
          <w:tab w:val="left" w:pos="2835"/>
          <w:tab w:val="left" w:pos="4785"/>
        </w:tabs>
        <w:spacing w:before="60" w:after="60"/>
        <w:rPr>
          <w:rFonts w:ascii="Tahoma" w:hAnsi="Tahoma" w:cs="Tahoma"/>
          <w:sz w:val="20"/>
        </w:rPr>
      </w:pPr>
      <w:r w:rsidRPr="00EF3FCC">
        <w:rPr>
          <w:rFonts w:ascii="Tahoma" w:hAnsi="Tahoma" w:cs="Tahoma"/>
          <w:sz w:val="20"/>
        </w:rPr>
        <w:t>1.  What is the incidence of medium and High Drug Burden Index scores among the RNSH ED patient cohort?</w:t>
      </w:r>
    </w:p>
    <w:p w:rsidR="00EF3FCC" w:rsidRPr="00EF3FCC" w:rsidRDefault="00EF3FCC" w:rsidP="00EF3FCC">
      <w:pPr>
        <w:tabs>
          <w:tab w:val="left" w:pos="2835"/>
          <w:tab w:val="left" w:pos="4785"/>
        </w:tabs>
        <w:spacing w:before="60" w:after="60"/>
        <w:rPr>
          <w:rFonts w:ascii="Tahoma" w:hAnsi="Tahoma" w:cs="Tahoma"/>
          <w:sz w:val="20"/>
        </w:rPr>
      </w:pPr>
      <w:r w:rsidRPr="00EF3FCC">
        <w:rPr>
          <w:rFonts w:ascii="Tahoma" w:hAnsi="Tahoma" w:cs="Tahoma"/>
          <w:sz w:val="20"/>
        </w:rPr>
        <w:lastRenderedPageBreak/>
        <w:t>2.  What changes, if any, are made to patients’ prescribed medications by their GPs after the receipt by the GP of Drug Burden Index scores for the</w:t>
      </w:r>
      <w:r>
        <w:rPr>
          <w:rFonts w:ascii="Tahoma" w:hAnsi="Tahoma" w:cs="Tahoma"/>
          <w:sz w:val="20"/>
        </w:rPr>
        <w:t>ir</w:t>
      </w:r>
      <w:r w:rsidRPr="00EF3FCC">
        <w:rPr>
          <w:rFonts w:ascii="Tahoma" w:hAnsi="Tahoma" w:cs="Tahoma"/>
          <w:sz w:val="20"/>
        </w:rPr>
        <w:t xml:space="preserve"> patient</w:t>
      </w:r>
      <w:r>
        <w:rPr>
          <w:rFonts w:ascii="Tahoma" w:hAnsi="Tahoma" w:cs="Tahoma"/>
          <w:sz w:val="20"/>
        </w:rPr>
        <w:t>s</w:t>
      </w:r>
      <w:r w:rsidRPr="00EF3FCC">
        <w:rPr>
          <w:rFonts w:ascii="Tahoma" w:hAnsi="Tahoma" w:cs="Tahoma"/>
          <w:sz w:val="20"/>
        </w:rPr>
        <w:t>?</w:t>
      </w:r>
    </w:p>
    <w:p w:rsidR="00EF3FCC" w:rsidRPr="00EF3FCC" w:rsidRDefault="00EF3FCC" w:rsidP="00EF3FCC">
      <w:pPr>
        <w:tabs>
          <w:tab w:val="left" w:pos="2835"/>
          <w:tab w:val="left" w:pos="4785"/>
        </w:tabs>
        <w:spacing w:before="60" w:after="60"/>
        <w:rPr>
          <w:rFonts w:ascii="Tahoma" w:hAnsi="Tahoma" w:cs="Tahoma"/>
          <w:sz w:val="20"/>
        </w:rPr>
      </w:pPr>
      <w:r w:rsidRPr="00EF3FCC">
        <w:rPr>
          <w:rFonts w:ascii="Tahoma" w:hAnsi="Tahoma" w:cs="Tahoma"/>
          <w:sz w:val="20"/>
        </w:rPr>
        <w:t>3. What changes</w:t>
      </w:r>
      <w:r>
        <w:rPr>
          <w:rFonts w:ascii="Tahoma" w:hAnsi="Tahoma" w:cs="Tahoma"/>
          <w:sz w:val="20"/>
        </w:rPr>
        <w:t>,</w:t>
      </w:r>
      <w:r w:rsidRPr="00EF3FCC">
        <w:rPr>
          <w:rFonts w:ascii="Tahoma" w:hAnsi="Tahoma" w:cs="Tahoma"/>
          <w:sz w:val="20"/>
        </w:rPr>
        <w:t xml:space="preserve"> if any</w:t>
      </w:r>
      <w:r>
        <w:rPr>
          <w:rFonts w:ascii="Tahoma" w:hAnsi="Tahoma" w:cs="Tahoma"/>
          <w:sz w:val="20"/>
        </w:rPr>
        <w:t>,</w:t>
      </w:r>
      <w:r w:rsidRPr="00EF3FCC">
        <w:rPr>
          <w:rFonts w:ascii="Tahoma" w:hAnsi="Tahoma" w:cs="Tahoma"/>
          <w:sz w:val="20"/>
        </w:rPr>
        <w:t xml:space="preserve"> are seen in patients’ DBI scores one month after their discharge from ED?</w:t>
      </w:r>
    </w:p>
    <w:p w:rsidR="00EF3FCC" w:rsidRDefault="00EF3FCC" w:rsidP="00EF3FCC">
      <w:pPr>
        <w:tabs>
          <w:tab w:val="left" w:pos="2835"/>
          <w:tab w:val="left" w:pos="4785"/>
        </w:tabs>
        <w:spacing w:before="60" w:after="60"/>
        <w:rPr>
          <w:rFonts w:ascii="Tahoma" w:hAnsi="Tahoma" w:cs="Tahoma"/>
          <w:sz w:val="20"/>
        </w:rPr>
      </w:pPr>
      <w:r w:rsidRPr="00EF3FCC">
        <w:rPr>
          <w:rFonts w:ascii="Tahoma" w:hAnsi="Tahoma" w:cs="Tahoma"/>
          <w:sz w:val="20"/>
        </w:rPr>
        <w:t>4. Are any changes in patients’ DBI sustainable over a six month period?</w:t>
      </w:r>
    </w:p>
    <w:p w:rsidR="008D7596" w:rsidRDefault="008D7596" w:rsidP="00EF3FCC">
      <w:pPr>
        <w:tabs>
          <w:tab w:val="left" w:pos="2835"/>
          <w:tab w:val="left" w:pos="4785"/>
        </w:tabs>
        <w:spacing w:before="60" w:after="60"/>
        <w:rPr>
          <w:rFonts w:ascii="Tahoma" w:hAnsi="Tahoma" w:cs="Tahoma"/>
          <w:sz w:val="20"/>
        </w:rPr>
      </w:pPr>
      <w:r>
        <w:rPr>
          <w:rFonts w:ascii="Tahoma" w:hAnsi="Tahoma" w:cs="Tahoma"/>
          <w:sz w:val="20"/>
        </w:rPr>
        <w:t>5. Is there any evidence that re-presentation rates are related to changes in DBI?</w:t>
      </w:r>
    </w:p>
    <w:p w:rsidR="008A2155" w:rsidRPr="00EF3FCC" w:rsidRDefault="008A2155" w:rsidP="00EF3FCC">
      <w:pPr>
        <w:tabs>
          <w:tab w:val="left" w:pos="2835"/>
          <w:tab w:val="left" w:pos="4785"/>
        </w:tabs>
        <w:spacing w:before="60" w:after="60"/>
        <w:rPr>
          <w:rFonts w:ascii="Tahoma" w:hAnsi="Tahoma" w:cs="Tahoma"/>
          <w:sz w:val="20"/>
        </w:rPr>
      </w:pPr>
    </w:p>
    <w:p w:rsidR="00FE720D" w:rsidRPr="004E2017" w:rsidRDefault="00FE720D" w:rsidP="005A6F21">
      <w:pPr>
        <w:pStyle w:val="Heading1"/>
        <w:numPr>
          <w:ilvl w:val="0"/>
          <w:numId w:val="15"/>
        </w:numPr>
        <w:spacing w:after="120"/>
        <w:rPr>
          <w:caps/>
        </w:rPr>
      </w:pPr>
      <w:r w:rsidRPr="004E2017">
        <w:t>STUDY DESIGN</w:t>
      </w:r>
    </w:p>
    <w:p w:rsidR="00FE720D" w:rsidRPr="004E2017" w:rsidRDefault="00FE720D" w:rsidP="005A6F21">
      <w:pPr>
        <w:pStyle w:val="ListParagraph"/>
        <w:numPr>
          <w:ilvl w:val="1"/>
          <w:numId w:val="15"/>
        </w:numPr>
        <w:spacing w:after="120" w:line="240" w:lineRule="auto"/>
        <w:jc w:val="both"/>
        <w:rPr>
          <w:b/>
          <w:color w:val="000000"/>
        </w:rPr>
      </w:pPr>
      <w:r w:rsidRPr="004E2017">
        <w:rPr>
          <w:b/>
          <w:color w:val="000000"/>
        </w:rPr>
        <w:t>Type of Study</w:t>
      </w:r>
    </w:p>
    <w:p w:rsidR="00FE720D" w:rsidRPr="000101AB" w:rsidRDefault="000101AB" w:rsidP="005A6F21">
      <w:pPr>
        <w:spacing w:after="120" w:line="240" w:lineRule="auto"/>
        <w:rPr>
          <w:rFonts w:ascii="Tahoma" w:hAnsi="Tahoma" w:cs="Tahoma"/>
          <w:sz w:val="20"/>
        </w:rPr>
      </w:pPr>
      <w:r w:rsidRPr="000101AB">
        <w:rPr>
          <w:rFonts w:ascii="Tahoma" w:hAnsi="Tahoma" w:cs="Tahoma"/>
          <w:sz w:val="20"/>
        </w:rPr>
        <w:t xml:space="preserve">This project is an Evaluation Study. </w:t>
      </w:r>
    </w:p>
    <w:p w:rsidR="00FE720D" w:rsidRPr="004E2017" w:rsidRDefault="00FE720D" w:rsidP="005A6F21">
      <w:pPr>
        <w:pStyle w:val="ListParagraph"/>
        <w:numPr>
          <w:ilvl w:val="1"/>
          <w:numId w:val="15"/>
        </w:numPr>
        <w:spacing w:after="120" w:line="240" w:lineRule="auto"/>
        <w:jc w:val="both"/>
        <w:rPr>
          <w:b/>
          <w:color w:val="000000"/>
        </w:rPr>
      </w:pPr>
      <w:r w:rsidRPr="004E2017">
        <w:rPr>
          <w:b/>
          <w:color w:val="000000"/>
        </w:rPr>
        <w:t xml:space="preserve">Study Design </w:t>
      </w:r>
    </w:p>
    <w:p w:rsidR="00607FCC" w:rsidRDefault="00607FCC" w:rsidP="005A6F21">
      <w:pPr>
        <w:spacing w:after="120" w:line="240" w:lineRule="auto"/>
        <w:rPr>
          <w:color w:val="FF0000"/>
        </w:rPr>
      </w:pPr>
    </w:p>
    <w:p w:rsidR="00607FCC" w:rsidRPr="00607FCC" w:rsidRDefault="00607FCC" w:rsidP="00607FCC">
      <w:pPr>
        <w:spacing w:after="120"/>
        <w:rPr>
          <w:rFonts w:ascii="Tahoma" w:hAnsi="Tahoma" w:cs="Tahoma"/>
          <w:sz w:val="20"/>
        </w:rPr>
      </w:pPr>
      <w:r w:rsidRPr="00607FCC">
        <w:rPr>
          <w:rFonts w:ascii="Tahoma" w:hAnsi="Tahoma" w:cs="Tahoma"/>
          <w:sz w:val="20"/>
        </w:rPr>
        <w:t>This study will evaluate the benefits, if any, of communicating elderly patients’ Drug Burden Index scores to their GPs. We will use convenience sequential sampling</w:t>
      </w:r>
      <w:r w:rsidR="00CB4120">
        <w:rPr>
          <w:rFonts w:ascii="Tahoma" w:hAnsi="Tahoma" w:cs="Tahoma"/>
          <w:sz w:val="20"/>
        </w:rPr>
        <w:t xml:space="preserve"> to recruit our</w:t>
      </w:r>
      <w:r w:rsidRPr="00607FCC">
        <w:rPr>
          <w:rFonts w:ascii="Tahoma" w:hAnsi="Tahoma" w:cs="Tahoma"/>
          <w:sz w:val="20"/>
        </w:rPr>
        <w:t xml:space="preserve"> study population.</w:t>
      </w:r>
      <w:r w:rsidR="00CB4120">
        <w:rPr>
          <w:rFonts w:ascii="Tahoma" w:hAnsi="Tahoma" w:cs="Tahoma"/>
          <w:sz w:val="20"/>
        </w:rPr>
        <w:t xml:space="preserve"> The study will run for 12 months. Recruiting will be continuous throughout the first six months of the study or until the target sample size of 250 participants is achieved, whichever occurs first.</w:t>
      </w:r>
    </w:p>
    <w:p w:rsidR="00607FCC" w:rsidRPr="00607FCC" w:rsidRDefault="00607FCC" w:rsidP="00607FCC">
      <w:pPr>
        <w:spacing w:after="120"/>
        <w:rPr>
          <w:rFonts w:ascii="Tahoma" w:hAnsi="Tahoma" w:cs="Tahoma"/>
          <w:sz w:val="20"/>
        </w:rPr>
      </w:pPr>
      <w:r w:rsidRPr="00607FCC">
        <w:rPr>
          <w:rFonts w:ascii="Tahoma" w:hAnsi="Tahoma" w:cs="Tahoma"/>
          <w:i/>
          <w:sz w:val="20"/>
        </w:rPr>
        <w:t>Inclusion criteria:</w:t>
      </w:r>
      <w:r w:rsidRPr="00607FCC">
        <w:rPr>
          <w:rFonts w:ascii="Tahoma" w:hAnsi="Tahoma" w:cs="Tahoma"/>
          <w:sz w:val="20"/>
        </w:rPr>
        <w:t xml:space="preserve"> Patients &gt; 65 years of age without significant cognitive impairment (ie Six Item Screener score of &gt;4) </w:t>
      </w:r>
      <w:r w:rsidR="008D54D5">
        <w:rPr>
          <w:rFonts w:ascii="Tahoma" w:hAnsi="Tahoma" w:cs="Tahoma"/>
          <w:sz w:val="20"/>
        </w:rPr>
        <w:t xml:space="preserve">who are taking at least one prescribed medication and </w:t>
      </w:r>
      <w:r w:rsidRPr="00607FCC">
        <w:rPr>
          <w:rFonts w:ascii="Tahoma" w:hAnsi="Tahoma" w:cs="Tahoma"/>
          <w:sz w:val="20"/>
        </w:rPr>
        <w:t>who have attended RNSH Emergency Department and were discharged to home.</w:t>
      </w:r>
    </w:p>
    <w:p w:rsidR="00607FCC" w:rsidRDefault="00607FCC" w:rsidP="00607FCC">
      <w:pPr>
        <w:spacing w:after="120"/>
        <w:rPr>
          <w:rFonts w:ascii="Tahoma" w:hAnsi="Tahoma" w:cs="Tahoma"/>
          <w:sz w:val="20"/>
        </w:rPr>
      </w:pPr>
      <w:r w:rsidRPr="00607FCC">
        <w:rPr>
          <w:rFonts w:ascii="Tahoma" w:hAnsi="Tahoma" w:cs="Tahoma"/>
          <w:i/>
          <w:sz w:val="20"/>
        </w:rPr>
        <w:t>Exclusion criteria:</w:t>
      </w:r>
      <w:r w:rsidRPr="00607FCC">
        <w:rPr>
          <w:rFonts w:ascii="Tahoma" w:hAnsi="Tahoma" w:cs="Tahoma"/>
          <w:sz w:val="20"/>
        </w:rPr>
        <w:t xml:space="preserve"> Patients below the age of 65 years, patients with significant cognitive impairments, or patients who are admitted to RNSH as in-patients or who are transferred as in -patients to another care facility (eg rehab, private hospital). </w:t>
      </w:r>
    </w:p>
    <w:p w:rsidR="008D54D5" w:rsidRDefault="00607FCC" w:rsidP="00607FCC">
      <w:pPr>
        <w:spacing w:after="120"/>
        <w:rPr>
          <w:rFonts w:ascii="Tahoma" w:hAnsi="Tahoma" w:cs="Tahoma"/>
          <w:sz w:val="20"/>
        </w:rPr>
      </w:pPr>
      <w:r>
        <w:rPr>
          <w:rFonts w:ascii="Tahoma" w:hAnsi="Tahoma" w:cs="Tahoma"/>
          <w:sz w:val="20"/>
        </w:rPr>
        <w:t>All consenting patients will have their DBI scores calculated at three points in time: admission to ED, one month after their discharge, and six months after their discharge. Post-discharge data collection will be via telephone follow-up interview. During the follow-up interviews participants will also be asked if they have been re-admitted to an E</w:t>
      </w:r>
      <w:r w:rsidR="008D54D5">
        <w:rPr>
          <w:rFonts w:ascii="Tahoma" w:hAnsi="Tahoma" w:cs="Tahoma"/>
          <w:sz w:val="20"/>
        </w:rPr>
        <w:t>D.</w:t>
      </w:r>
    </w:p>
    <w:p w:rsidR="00607FCC" w:rsidRPr="009A6094" w:rsidRDefault="008D54D5" w:rsidP="00607FCC">
      <w:pPr>
        <w:spacing w:after="120"/>
        <w:rPr>
          <w:rFonts w:ascii="Tahoma" w:hAnsi="Tahoma" w:cs="Tahoma"/>
          <w:b/>
          <w:sz w:val="20"/>
        </w:rPr>
      </w:pPr>
      <w:r w:rsidRPr="009A6094">
        <w:rPr>
          <w:rFonts w:ascii="Tahoma" w:hAnsi="Tahoma" w:cs="Tahoma"/>
          <w:b/>
          <w:sz w:val="20"/>
        </w:rPr>
        <w:t xml:space="preserve"> </w:t>
      </w:r>
      <w:r w:rsidR="00607FCC" w:rsidRPr="009A6094">
        <w:rPr>
          <w:rFonts w:ascii="Tahoma" w:hAnsi="Tahoma" w:cs="Tahoma"/>
          <w:b/>
          <w:sz w:val="20"/>
        </w:rPr>
        <w:t>Data collection:</w:t>
      </w:r>
    </w:p>
    <w:p w:rsidR="00EF5C39" w:rsidRPr="00044CFB" w:rsidRDefault="00EF5C39" w:rsidP="00044CFB">
      <w:pPr>
        <w:tabs>
          <w:tab w:val="left" w:pos="2835"/>
          <w:tab w:val="left" w:pos="4785"/>
        </w:tabs>
        <w:spacing w:before="60" w:after="60"/>
        <w:rPr>
          <w:rFonts w:ascii="Tahoma" w:hAnsi="Tahoma" w:cs="Tahoma"/>
          <w:sz w:val="20"/>
        </w:rPr>
      </w:pPr>
      <w:r w:rsidRPr="00044CFB">
        <w:rPr>
          <w:rFonts w:ascii="Tahoma" w:hAnsi="Tahoma" w:cs="Tahoma"/>
          <w:i/>
          <w:sz w:val="20"/>
        </w:rPr>
        <w:t>Pre-trial audit</w:t>
      </w:r>
      <w:r w:rsidRPr="00044CFB">
        <w:rPr>
          <w:rFonts w:ascii="Tahoma" w:hAnsi="Tahoma" w:cs="Tahoma"/>
          <w:sz w:val="20"/>
        </w:rPr>
        <w:t xml:space="preserve">: </w:t>
      </w:r>
      <w:r>
        <w:rPr>
          <w:rFonts w:ascii="Tahoma" w:hAnsi="Tahoma" w:cs="Tahoma"/>
          <w:sz w:val="20"/>
        </w:rPr>
        <w:t xml:space="preserve">prior to commencement of DBI calculations we will undertake a pre-trial audit </w:t>
      </w:r>
      <w:r w:rsidRPr="00044CFB">
        <w:rPr>
          <w:rFonts w:ascii="Tahoma" w:hAnsi="Tahoma" w:cs="Tahoma"/>
          <w:sz w:val="20"/>
        </w:rPr>
        <w:t xml:space="preserve">of medications taken by patients over the age of 65 years who present to the ED and are discharged to home. The following data will be collected: MRN, Age, Gender, Presenting problem(s), any relationship of presenting problems to medications taken, the number of presentations during a) the previous month and b) the previous year; and the generic names and 24-hour dosage of medications with: Anticholinergic, Sedative, or Vasodilating properties, beta or calcium channel blockers, and analgesics. These data will be collated by a Research Pharmacist from First Net. </w:t>
      </w:r>
    </w:p>
    <w:p w:rsidR="00607FCC" w:rsidRDefault="00534F98" w:rsidP="00044CFB">
      <w:pPr>
        <w:spacing w:before="240" w:after="120"/>
        <w:rPr>
          <w:rFonts w:ascii="Tahoma" w:hAnsi="Tahoma" w:cs="Tahoma"/>
          <w:sz w:val="20"/>
        </w:rPr>
      </w:pPr>
      <w:r>
        <w:rPr>
          <w:rFonts w:ascii="Tahoma" w:hAnsi="Tahoma" w:cs="Tahoma"/>
          <w:i/>
          <w:sz w:val="20"/>
        </w:rPr>
        <w:t>Data collection point 1</w:t>
      </w:r>
      <w:r w:rsidR="00607FCC">
        <w:rPr>
          <w:rFonts w:ascii="Tahoma" w:hAnsi="Tahoma" w:cs="Tahoma"/>
          <w:sz w:val="20"/>
        </w:rPr>
        <w:t xml:space="preserve">: </w:t>
      </w:r>
      <w:r>
        <w:rPr>
          <w:rFonts w:ascii="Tahoma" w:hAnsi="Tahoma" w:cs="Tahoma"/>
          <w:sz w:val="20"/>
        </w:rPr>
        <w:t>collate</w:t>
      </w:r>
      <w:r w:rsidR="00607FCC">
        <w:rPr>
          <w:rFonts w:ascii="Tahoma" w:hAnsi="Tahoma" w:cs="Tahoma"/>
          <w:sz w:val="20"/>
        </w:rPr>
        <w:t xml:space="preserve"> information</w:t>
      </w:r>
      <w:r>
        <w:rPr>
          <w:rFonts w:ascii="Tahoma" w:hAnsi="Tahoma" w:cs="Tahoma"/>
          <w:sz w:val="20"/>
        </w:rPr>
        <w:t xml:space="preserve"> </w:t>
      </w:r>
      <w:r w:rsidR="00607FCC">
        <w:rPr>
          <w:rFonts w:ascii="Tahoma" w:hAnsi="Tahoma" w:cs="Tahoma"/>
          <w:sz w:val="20"/>
        </w:rPr>
        <w:t>collected as part of routine ED procedures regarding participants’</w:t>
      </w:r>
      <w:r w:rsidR="004B3721">
        <w:rPr>
          <w:rFonts w:ascii="Tahoma" w:hAnsi="Tahoma" w:cs="Tahoma"/>
          <w:sz w:val="20"/>
        </w:rPr>
        <w:t xml:space="preserve"> prescribed medications,</w:t>
      </w:r>
      <w:r w:rsidR="00FF17EB">
        <w:rPr>
          <w:rFonts w:ascii="Tahoma" w:hAnsi="Tahoma" w:cs="Tahoma"/>
          <w:sz w:val="20"/>
        </w:rPr>
        <w:t xml:space="preserve"> record reason for ED presentation</w:t>
      </w:r>
    </w:p>
    <w:p w:rsidR="00607FCC" w:rsidRPr="00607FCC" w:rsidRDefault="00534F98" w:rsidP="00607FCC">
      <w:pPr>
        <w:spacing w:after="120"/>
        <w:rPr>
          <w:rFonts w:ascii="Tahoma" w:hAnsi="Tahoma" w:cs="Tahoma"/>
          <w:sz w:val="20"/>
        </w:rPr>
      </w:pPr>
      <w:r>
        <w:rPr>
          <w:rFonts w:ascii="Tahoma" w:hAnsi="Tahoma" w:cs="Tahoma"/>
          <w:i/>
          <w:sz w:val="20"/>
        </w:rPr>
        <w:t xml:space="preserve">Data collection point </w:t>
      </w:r>
      <w:r w:rsidR="00607FCC" w:rsidRPr="00534F98">
        <w:rPr>
          <w:rFonts w:ascii="Tahoma" w:hAnsi="Tahoma" w:cs="Tahoma"/>
          <w:i/>
          <w:sz w:val="20"/>
        </w:rPr>
        <w:t>2</w:t>
      </w:r>
      <w:r w:rsidR="00607FCC">
        <w:rPr>
          <w:rFonts w:ascii="Tahoma" w:hAnsi="Tahoma" w:cs="Tahoma"/>
          <w:sz w:val="20"/>
        </w:rPr>
        <w:t>:</w:t>
      </w:r>
      <w:r>
        <w:rPr>
          <w:rFonts w:ascii="Tahoma" w:hAnsi="Tahoma" w:cs="Tahoma"/>
          <w:sz w:val="20"/>
        </w:rPr>
        <w:t xml:space="preserve"> collect information on participants’ prescribed medications during first (1 month post-discharge) telephone interview </w:t>
      </w:r>
    </w:p>
    <w:p w:rsidR="00607FCC" w:rsidRDefault="00534F98" w:rsidP="00607FCC">
      <w:pPr>
        <w:spacing w:after="120"/>
        <w:rPr>
          <w:rFonts w:ascii="Tahoma" w:hAnsi="Tahoma" w:cs="Tahoma"/>
          <w:sz w:val="20"/>
        </w:rPr>
      </w:pPr>
      <w:r>
        <w:rPr>
          <w:rFonts w:ascii="Tahoma" w:hAnsi="Tahoma" w:cs="Tahoma"/>
          <w:i/>
          <w:sz w:val="20"/>
        </w:rPr>
        <w:t xml:space="preserve">Data collection point </w:t>
      </w:r>
      <w:r w:rsidRPr="00534F98">
        <w:rPr>
          <w:rFonts w:ascii="Tahoma" w:hAnsi="Tahoma" w:cs="Tahoma"/>
          <w:i/>
          <w:sz w:val="20"/>
        </w:rPr>
        <w:t>3</w:t>
      </w:r>
      <w:r>
        <w:rPr>
          <w:rFonts w:ascii="Tahoma" w:hAnsi="Tahoma" w:cs="Tahoma"/>
          <w:sz w:val="20"/>
        </w:rPr>
        <w:t>: collect information on participants’ prescribed medications during second (6 month post-discharge) telephone interview</w:t>
      </w:r>
      <w:r w:rsidR="009A6094">
        <w:rPr>
          <w:rFonts w:ascii="Tahoma" w:hAnsi="Tahoma" w:cs="Tahoma"/>
          <w:i/>
          <w:sz w:val="20"/>
        </w:rPr>
        <w:t>,</w:t>
      </w:r>
      <w:r w:rsidR="009A6094" w:rsidRPr="009A6094">
        <w:rPr>
          <w:rFonts w:ascii="Tahoma" w:hAnsi="Tahoma" w:cs="Tahoma"/>
          <w:sz w:val="20"/>
        </w:rPr>
        <w:t xml:space="preserve"> and information </w:t>
      </w:r>
      <w:r>
        <w:rPr>
          <w:rFonts w:ascii="Tahoma" w:hAnsi="Tahoma" w:cs="Tahoma"/>
          <w:sz w:val="20"/>
        </w:rPr>
        <w:t>regarding having been re-admitted to an ED</w:t>
      </w:r>
      <w:r w:rsidR="009A6094">
        <w:rPr>
          <w:rFonts w:ascii="Tahoma" w:hAnsi="Tahoma" w:cs="Tahoma"/>
          <w:sz w:val="20"/>
        </w:rPr>
        <w:t>.</w:t>
      </w:r>
    </w:p>
    <w:p w:rsidR="009A6094" w:rsidRPr="009A6094" w:rsidRDefault="00607FCC" w:rsidP="00607FCC">
      <w:pPr>
        <w:spacing w:after="120"/>
        <w:rPr>
          <w:rFonts w:ascii="Tahoma" w:hAnsi="Tahoma" w:cs="Tahoma"/>
          <w:b/>
          <w:sz w:val="20"/>
        </w:rPr>
      </w:pPr>
      <w:r w:rsidRPr="009A6094">
        <w:rPr>
          <w:rFonts w:ascii="Tahoma" w:hAnsi="Tahoma" w:cs="Tahoma"/>
          <w:b/>
          <w:sz w:val="20"/>
        </w:rPr>
        <w:t xml:space="preserve">Data Analysis: </w:t>
      </w:r>
    </w:p>
    <w:p w:rsidR="009A6094" w:rsidRDefault="009A6094" w:rsidP="00607FCC">
      <w:pPr>
        <w:spacing w:after="120"/>
        <w:rPr>
          <w:rFonts w:ascii="Tahoma" w:hAnsi="Tahoma" w:cs="Tahoma"/>
          <w:sz w:val="20"/>
        </w:rPr>
      </w:pPr>
      <w:r>
        <w:rPr>
          <w:rFonts w:ascii="Tahoma" w:hAnsi="Tahoma" w:cs="Tahoma"/>
          <w:sz w:val="20"/>
        </w:rPr>
        <w:t xml:space="preserve">Calculate </w:t>
      </w:r>
      <w:r w:rsidR="00607FCC">
        <w:rPr>
          <w:rFonts w:ascii="Tahoma" w:hAnsi="Tahoma" w:cs="Tahoma"/>
          <w:sz w:val="20"/>
        </w:rPr>
        <w:t>DBIs</w:t>
      </w:r>
      <w:r>
        <w:rPr>
          <w:rFonts w:ascii="Tahoma" w:hAnsi="Tahoma" w:cs="Tahoma"/>
          <w:sz w:val="20"/>
        </w:rPr>
        <w:t xml:space="preserve"> at: </w:t>
      </w:r>
    </w:p>
    <w:p w:rsidR="009A6094" w:rsidRPr="009A6094" w:rsidRDefault="009A6094" w:rsidP="009A6094">
      <w:pPr>
        <w:pStyle w:val="ListParagraph"/>
        <w:numPr>
          <w:ilvl w:val="0"/>
          <w:numId w:val="16"/>
        </w:numPr>
        <w:spacing w:after="120"/>
        <w:rPr>
          <w:rFonts w:ascii="Tahoma" w:hAnsi="Tahoma" w:cs="Tahoma"/>
          <w:sz w:val="20"/>
        </w:rPr>
      </w:pPr>
      <w:r w:rsidRPr="009A6094">
        <w:rPr>
          <w:rFonts w:ascii="Tahoma" w:hAnsi="Tahoma" w:cs="Tahoma"/>
          <w:sz w:val="20"/>
        </w:rPr>
        <w:lastRenderedPageBreak/>
        <w:t xml:space="preserve">time of initial ED presentation </w:t>
      </w:r>
      <w:r w:rsidR="004B3721">
        <w:rPr>
          <w:rFonts w:ascii="Tahoma" w:hAnsi="Tahoma" w:cs="Tahoma"/>
          <w:sz w:val="20"/>
        </w:rPr>
        <w:t>– DBI 0</w:t>
      </w:r>
    </w:p>
    <w:p w:rsidR="009A6094" w:rsidRPr="009A6094" w:rsidRDefault="009A6094" w:rsidP="009A6094">
      <w:pPr>
        <w:pStyle w:val="ListParagraph"/>
        <w:numPr>
          <w:ilvl w:val="0"/>
          <w:numId w:val="16"/>
        </w:numPr>
        <w:spacing w:after="120"/>
        <w:rPr>
          <w:rFonts w:ascii="Tahoma" w:hAnsi="Tahoma" w:cs="Tahoma"/>
          <w:sz w:val="20"/>
        </w:rPr>
      </w:pPr>
      <w:r>
        <w:rPr>
          <w:rFonts w:ascii="Tahoma" w:hAnsi="Tahoma" w:cs="Tahoma"/>
          <w:sz w:val="20"/>
        </w:rPr>
        <w:t>one month post-discharge</w:t>
      </w:r>
      <w:r w:rsidR="004B3721">
        <w:rPr>
          <w:rFonts w:ascii="Tahoma" w:hAnsi="Tahoma" w:cs="Tahoma"/>
          <w:sz w:val="20"/>
        </w:rPr>
        <w:t xml:space="preserve"> – DBI 1</w:t>
      </w:r>
    </w:p>
    <w:p w:rsidR="00607FCC" w:rsidRDefault="009A6094" w:rsidP="009A6094">
      <w:pPr>
        <w:pStyle w:val="ListParagraph"/>
        <w:numPr>
          <w:ilvl w:val="0"/>
          <w:numId w:val="16"/>
        </w:numPr>
        <w:spacing w:after="120"/>
        <w:rPr>
          <w:rFonts w:ascii="Tahoma" w:hAnsi="Tahoma" w:cs="Tahoma"/>
          <w:sz w:val="20"/>
        </w:rPr>
      </w:pPr>
      <w:r w:rsidRPr="009A6094">
        <w:rPr>
          <w:rFonts w:ascii="Tahoma" w:hAnsi="Tahoma" w:cs="Tahoma"/>
          <w:sz w:val="20"/>
        </w:rPr>
        <w:t>six months post-discharge</w:t>
      </w:r>
      <w:r w:rsidR="004B3721">
        <w:rPr>
          <w:rFonts w:ascii="Tahoma" w:hAnsi="Tahoma" w:cs="Tahoma"/>
          <w:sz w:val="20"/>
        </w:rPr>
        <w:t xml:space="preserve"> – DBI 6</w:t>
      </w:r>
    </w:p>
    <w:p w:rsidR="009A6094" w:rsidRDefault="004B3721" w:rsidP="009A6094">
      <w:pPr>
        <w:spacing w:after="120"/>
        <w:rPr>
          <w:rFonts w:ascii="Tahoma" w:hAnsi="Tahoma" w:cs="Tahoma"/>
          <w:sz w:val="20"/>
          <w:szCs w:val="20"/>
        </w:rPr>
      </w:pPr>
      <w:r>
        <w:rPr>
          <w:rFonts w:ascii="Tahoma" w:hAnsi="Tahoma" w:cs="Tahoma"/>
          <w:sz w:val="20"/>
        </w:rPr>
        <w:t>Calculate</w:t>
      </w:r>
      <w:r w:rsidRPr="00E913DD">
        <w:rPr>
          <w:rFonts w:ascii="Tahoma" w:hAnsi="Tahoma" w:cs="Tahoma"/>
          <w:sz w:val="20"/>
          <w:szCs w:val="20"/>
        </w:rPr>
        <w:t xml:space="preserve"> th</w:t>
      </w:r>
      <w:r>
        <w:rPr>
          <w:rFonts w:ascii="Tahoma" w:hAnsi="Tahoma" w:cs="Tahoma"/>
          <w:sz w:val="20"/>
          <w:szCs w:val="20"/>
        </w:rPr>
        <w:t>e incidence of M</w:t>
      </w:r>
      <w:r w:rsidRPr="00E913DD">
        <w:rPr>
          <w:rFonts w:ascii="Tahoma" w:hAnsi="Tahoma" w:cs="Tahoma"/>
          <w:sz w:val="20"/>
          <w:szCs w:val="20"/>
        </w:rPr>
        <w:t>edium and High Drug Burden Index scores among the RNSH ED patient cohort</w:t>
      </w:r>
      <w:r>
        <w:rPr>
          <w:rFonts w:ascii="Tahoma" w:hAnsi="Tahoma" w:cs="Tahoma"/>
          <w:sz w:val="20"/>
          <w:szCs w:val="20"/>
        </w:rPr>
        <w:t xml:space="preserve"> (Secondary Objective 1)</w:t>
      </w:r>
    </w:p>
    <w:p w:rsidR="009964EC" w:rsidRDefault="004B3721" w:rsidP="009A6094">
      <w:pPr>
        <w:spacing w:after="120"/>
        <w:rPr>
          <w:rFonts w:ascii="Tahoma" w:hAnsi="Tahoma" w:cs="Tahoma"/>
          <w:sz w:val="20"/>
          <w:szCs w:val="20"/>
        </w:rPr>
      </w:pPr>
      <w:r>
        <w:rPr>
          <w:rFonts w:ascii="Tahoma" w:hAnsi="Tahoma" w:cs="Tahoma"/>
          <w:sz w:val="20"/>
          <w:szCs w:val="20"/>
        </w:rPr>
        <w:t xml:space="preserve">Compare </w:t>
      </w:r>
    </w:p>
    <w:p w:rsidR="004B3721" w:rsidRPr="009964EC" w:rsidRDefault="004B3721" w:rsidP="009964EC">
      <w:pPr>
        <w:pStyle w:val="ListParagraph"/>
        <w:numPr>
          <w:ilvl w:val="0"/>
          <w:numId w:val="17"/>
        </w:numPr>
        <w:spacing w:after="120"/>
        <w:rPr>
          <w:rFonts w:ascii="Tahoma" w:hAnsi="Tahoma" w:cs="Tahoma"/>
          <w:sz w:val="20"/>
          <w:szCs w:val="20"/>
        </w:rPr>
      </w:pPr>
      <w:r w:rsidRPr="009964EC">
        <w:rPr>
          <w:rFonts w:ascii="Tahoma" w:hAnsi="Tahoma" w:cs="Tahoma"/>
          <w:sz w:val="20"/>
          <w:szCs w:val="20"/>
        </w:rPr>
        <w:t xml:space="preserve">DBI 0 and DBI 1 </w:t>
      </w:r>
    </w:p>
    <w:p w:rsidR="004B3721" w:rsidRPr="009964EC" w:rsidRDefault="004B3721" w:rsidP="009964EC">
      <w:pPr>
        <w:pStyle w:val="ListParagraph"/>
        <w:numPr>
          <w:ilvl w:val="0"/>
          <w:numId w:val="17"/>
        </w:numPr>
        <w:spacing w:after="120"/>
        <w:rPr>
          <w:rFonts w:ascii="Tahoma" w:hAnsi="Tahoma" w:cs="Tahoma"/>
          <w:sz w:val="20"/>
          <w:szCs w:val="20"/>
        </w:rPr>
      </w:pPr>
      <w:r w:rsidRPr="009964EC">
        <w:rPr>
          <w:rFonts w:ascii="Tahoma" w:hAnsi="Tahoma" w:cs="Tahoma"/>
          <w:sz w:val="20"/>
          <w:szCs w:val="20"/>
        </w:rPr>
        <w:t xml:space="preserve">DBI 0 </w:t>
      </w:r>
      <w:r w:rsidR="009964EC" w:rsidRPr="009964EC">
        <w:rPr>
          <w:rFonts w:ascii="Tahoma" w:hAnsi="Tahoma" w:cs="Tahoma"/>
          <w:sz w:val="20"/>
          <w:szCs w:val="20"/>
        </w:rPr>
        <w:t>and DB</w:t>
      </w:r>
      <w:r w:rsidR="009964EC">
        <w:rPr>
          <w:rFonts w:ascii="Tahoma" w:hAnsi="Tahoma" w:cs="Tahoma"/>
          <w:sz w:val="20"/>
          <w:szCs w:val="20"/>
        </w:rPr>
        <w:t>I 6</w:t>
      </w:r>
    </w:p>
    <w:p w:rsidR="009964EC" w:rsidRPr="008D7596" w:rsidRDefault="009964EC" w:rsidP="009964EC">
      <w:pPr>
        <w:pStyle w:val="ListParagraph"/>
        <w:numPr>
          <w:ilvl w:val="0"/>
          <w:numId w:val="17"/>
        </w:numPr>
        <w:spacing w:after="120"/>
        <w:rPr>
          <w:rFonts w:ascii="Tahoma" w:hAnsi="Tahoma" w:cs="Tahoma"/>
          <w:sz w:val="20"/>
        </w:rPr>
      </w:pPr>
      <w:r w:rsidRPr="009964EC">
        <w:rPr>
          <w:rFonts w:ascii="Tahoma" w:hAnsi="Tahoma" w:cs="Tahoma"/>
          <w:sz w:val="20"/>
          <w:szCs w:val="20"/>
        </w:rPr>
        <w:t>DB</w:t>
      </w:r>
      <w:r>
        <w:rPr>
          <w:rFonts w:ascii="Tahoma" w:hAnsi="Tahoma" w:cs="Tahoma"/>
          <w:sz w:val="20"/>
          <w:szCs w:val="20"/>
        </w:rPr>
        <w:t>I</w:t>
      </w:r>
      <w:r w:rsidRPr="009964EC">
        <w:rPr>
          <w:rFonts w:ascii="Tahoma" w:hAnsi="Tahoma" w:cs="Tahoma"/>
          <w:sz w:val="20"/>
          <w:szCs w:val="20"/>
        </w:rPr>
        <w:t xml:space="preserve"> 1 and DB</w:t>
      </w:r>
      <w:r>
        <w:rPr>
          <w:rFonts w:ascii="Tahoma" w:hAnsi="Tahoma" w:cs="Tahoma"/>
          <w:sz w:val="20"/>
          <w:szCs w:val="20"/>
        </w:rPr>
        <w:t xml:space="preserve">I </w:t>
      </w:r>
      <w:r w:rsidRPr="009964EC">
        <w:rPr>
          <w:rFonts w:ascii="Tahoma" w:hAnsi="Tahoma" w:cs="Tahoma"/>
          <w:sz w:val="20"/>
          <w:szCs w:val="20"/>
        </w:rPr>
        <w:t>6</w:t>
      </w:r>
    </w:p>
    <w:p w:rsidR="009964EC" w:rsidRDefault="009964EC" w:rsidP="009964EC">
      <w:pPr>
        <w:pStyle w:val="ListParagraph"/>
        <w:spacing w:after="120"/>
        <w:ind w:left="0"/>
        <w:rPr>
          <w:rFonts w:ascii="Tahoma" w:hAnsi="Tahoma" w:cs="Tahoma"/>
          <w:sz w:val="20"/>
        </w:rPr>
      </w:pPr>
      <w:r>
        <w:rPr>
          <w:rFonts w:ascii="Tahoma" w:hAnsi="Tahoma" w:cs="Tahoma"/>
          <w:sz w:val="20"/>
        </w:rPr>
        <w:t>Assess changes in participants’ Drug Burden Index after GPs receive their patients’ DBIs after discharge from ED (Secondary Objective 3)</w:t>
      </w:r>
    </w:p>
    <w:p w:rsidR="009964EC" w:rsidRDefault="009964EC" w:rsidP="009964EC">
      <w:pPr>
        <w:pStyle w:val="ListParagraph"/>
        <w:spacing w:after="120"/>
        <w:ind w:left="0"/>
        <w:rPr>
          <w:rFonts w:ascii="Tahoma" w:hAnsi="Tahoma" w:cs="Tahoma"/>
          <w:sz w:val="20"/>
        </w:rPr>
      </w:pPr>
      <w:r>
        <w:rPr>
          <w:rFonts w:ascii="Tahoma" w:hAnsi="Tahoma" w:cs="Tahoma"/>
          <w:sz w:val="20"/>
        </w:rPr>
        <w:t>Assess sustainability of any GP-initiated changes (Secondary Objective 4)</w:t>
      </w:r>
    </w:p>
    <w:p w:rsidR="008D7596" w:rsidRDefault="008D7596" w:rsidP="008D7596">
      <w:pPr>
        <w:spacing w:after="120"/>
        <w:rPr>
          <w:rFonts w:ascii="Tahoma" w:hAnsi="Tahoma" w:cs="Tahoma"/>
          <w:sz w:val="20"/>
        </w:rPr>
      </w:pPr>
      <w:r>
        <w:rPr>
          <w:rFonts w:ascii="Tahoma" w:hAnsi="Tahoma" w:cs="Tahoma"/>
          <w:sz w:val="20"/>
        </w:rPr>
        <w:t>Undertake qualitative/ semi-quantitative review of GPs changes, if any, in prescribing</w:t>
      </w:r>
    </w:p>
    <w:p w:rsidR="009964EC" w:rsidRDefault="009964EC" w:rsidP="009964EC">
      <w:pPr>
        <w:pStyle w:val="ListParagraph"/>
        <w:spacing w:after="120"/>
        <w:ind w:left="0"/>
        <w:rPr>
          <w:rFonts w:ascii="Tahoma" w:hAnsi="Tahoma" w:cs="Tahoma"/>
          <w:sz w:val="20"/>
        </w:rPr>
      </w:pPr>
      <w:r>
        <w:rPr>
          <w:rFonts w:ascii="Tahoma" w:hAnsi="Tahoma" w:cs="Tahoma"/>
          <w:sz w:val="20"/>
        </w:rPr>
        <w:t>Discern the relationship, if any, between re-presentations to ED and DBI risk range</w:t>
      </w:r>
      <w:r w:rsidR="008D7596">
        <w:rPr>
          <w:rFonts w:ascii="Tahoma" w:hAnsi="Tahoma" w:cs="Tahoma"/>
          <w:sz w:val="20"/>
        </w:rPr>
        <w:t xml:space="preserve"> (Secondary Objective 5)</w:t>
      </w:r>
    </w:p>
    <w:p w:rsidR="00FE720D" w:rsidRDefault="00FE720D" w:rsidP="005A6F21">
      <w:pPr>
        <w:pStyle w:val="ListParagraph"/>
        <w:numPr>
          <w:ilvl w:val="1"/>
          <w:numId w:val="15"/>
        </w:numPr>
        <w:spacing w:after="120" w:line="240" w:lineRule="auto"/>
        <w:jc w:val="both"/>
        <w:rPr>
          <w:b/>
          <w:color w:val="000000"/>
        </w:rPr>
      </w:pPr>
      <w:r w:rsidRPr="004E2017">
        <w:rPr>
          <w:b/>
          <w:color w:val="000000"/>
        </w:rPr>
        <w:t>Number of Participants</w:t>
      </w:r>
    </w:p>
    <w:p w:rsidR="009548F3" w:rsidRPr="009548F3" w:rsidRDefault="009548F3" w:rsidP="009548F3">
      <w:pPr>
        <w:spacing w:after="120" w:line="240" w:lineRule="auto"/>
        <w:jc w:val="both"/>
        <w:rPr>
          <w:rFonts w:ascii="Arial" w:hAnsi="Arial" w:cs="Arial"/>
          <w:color w:val="000000"/>
        </w:rPr>
      </w:pPr>
      <w:r w:rsidRPr="009548F3">
        <w:rPr>
          <w:rFonts w:ascii="Arial" w:hAnsi="Arial" w:cs="Arial"/>
          <w:color w:val="000000"/>
        </w:rPr>
        <w:t>250</w:t>
      </w:r>
    </w:p>
    <w:p w:rsidR="00FE720D" w:rsidRPr="004E2017" w:rsidRDefault="00FE720D" w:rsidP="005A6F21">
      <w:pPr>
        <w:pStyle w:val="ListParagraph"/>
        <w:numPr>
          <w:ilvl w:val="1"/>
          <w:numId w:val="15"/>
        </w:numPr>
        <w:spacing w:after="120" w:line="240" w:lineRule="auto"/>
        <w:jc w:val="both"/>
        <w:rPr>
          <w:b/>
          <w:color w:val="000000"/>
        </w:rPr>
      </w:pPr>
      <w:r>
        <w:rPr>
          <w:b/>
          <w:color w:val="000000"/>
        </w:rPr>
        <w:t>Study sites</w:t>
      </w:r>
    </w:p>
    <w:p w:rsidR="009548F3" w:rsidRPr="009548F3" w:rsidRDefault="009548F3" w:rsidP="009548F3">
      <w:pPr>
        <w:pStyle w:val="ListParagraph"/>
        <w:spacing w:after="120" w:line="240" w:lineRule="auto"/>
        <w:ind w:left="0"/>
        <w:jc w:val="both"/>
        <w:rPr>
          <w:rFonts w:ascii="Tahoma" w:hAnsi="Tahoma" w:cs="Tahoma"/>
        </w:rPr>
      </w:pPr>
      <w:r w:rsidRPr="009548F3">
        <w:rPr>
          <w:rFonts w:ascii="Tahoma" w:hAnsi="Tahoma" w:cs="Tahoma"/>
        </w:rPr>
        <w:t>This study will be conducted wholly at Royal North shore Emergency Department with 250 participants.</w:t>
      </w:r>
    </w:p>
    <w:p w:rsidR="00FE720D" w:rsidRPr="004E2017" w:rsidRDefault="00FE720D" w:rsidP="005A6F21">
      <w:pPr>
        <w:pStyle w:val="ListParagraph"/>
        <w:numPr>
          <w:ilvl w:val="1"/>
          <w:numId w:val="15"/>
        </w:numPr>
        <w:spacing w:after="120" w:line="240" w:lineRule="auto"/>
        <w:jc w:val="both"/>
        <w:rPr>
          <w:color w:val="000000"/>
        </w:rPr>
      </w:pPr>
      <w:r w:rsidRPr="004E2017">
        <w:rPr>
          <w:b/>
          <w:color w:val="000000"/>
        </w:rPr>
        <w:t>Expected Duration of Study</w:t>
      </w:r>
    </w:p>
    <w:p w:rsidR="00FE720D" w:rsidRPr="00E913DD" w:rsidRDefault="009548F3" w:rsidP="00E913DD">
      <w:pPr>
        <w:rPr>
          <w:rFonts w:ascii="Tahoma" w:hAnsi="Tahoma" w:cs="Tahoma"/>
          <w:sz w:val="20"/>
        </w:rPr>
      </w:pPr>
      <w:r w:rsidRPr="00E913DD">
        <w:rPr>
          <w:rFonts w:ascii="Tahoma" w:hAnsi="Tahoma" w:cs="Tahoma"/>
          <w:sz w:val="20"/>
        </w:rPr>
        <w:t xml:space="preserve">This study will commence recruiting in March 2017 and the project will finish in March 2018. Recruitment will be ongoing until 250 participants are recruited, or until the end September 2017, whichever occurs first. Follow-ups will occur from </w:t>
      </w:r>
      <w:r w:rsidR="002B282A" w:rsidRPr="00E913DD">
        <w:rPr>
          <w:rFonts w:ascii="Tahoma" w:hAnsi="Tahoma" w:cs="Tahoma"/>
          <w:sz w:val="20"/>
        </w:rPr>
        <w:t>the beginning of September 2017 until the completion of the project in March 2018.</w:t>
      </w:r>
      <w:r w:rsidR="00FE720D" w:rsidRPr="00E913DD">
        <w:rPr>
          <w:rFonts w:ascii="Tahoma" w:hAnsi="Tahoma" w:cs="Tahoma"/>
          <w:sz w:val="20"/>
        </w:rPr>
        <w:t xml:space="preserve"> </w:t>
      </w:r>
    </w:p>
    <w:p w:rsidR="00FE720D" w:rsidRPr="004E2017" w:rsidRDefault="00FE720D" w:rsidP="005A6F21">
      <w:pPr>
        <w:pStyle w:val="ListParagraph"/>
        <w:numPr>
          <w:ilvl w:val="1"/>
          <w:numId w:val="15"/>
        </w:numPr>
        <w:spacing w:after="120" w:line="240" w:lineRule="auto"/>
        <w:jc w:val="both"/>
        <w:rPr>
          <w:b/>
          <w:color w:val="000000"/>
        </w:rPr>
      </w:pPr>
      <w:r w:rsidRPr="004E2017">
        <w:rPr>
          <w:b/>
          <w:color w:val="000000"/>
        </w:rPr>
        <w:t>Primary and Secondary Outcome Measures</w:t>
      </w:r>
    </w:p>
    <w:p w:rsidR="00051A25" w:rsidRPr="00A30E82" w:rsidRDefault="00051A25" w:rsidP="00051A25">
      <w:pPr>
        <w:rPr>
          <w:rFonts w:ascii="Tahoma" w:hAnsi="Tahoma" w:cs="Tahoma"/>
          <w:i/>
          <w:sz w:val="20"/>
        </w:rPr>
      </w:pPr>
      <w:r w:rsidRPr="00A30E82">
        <w:rPr>
          <w:rFonts w:ascii="Tahoma" w:hAnsi="Tahoma" w:cs="Tahoma"/>
          <w:i/>
          <w:sz w:val="20"/>
        </w:rPr>
        <w:t>Primary outcomes</w:t>
      </w:r>
    </w:p>
    <w:p w:rsidR="00051A25" w:rsidRPr="00051A25" w:rsidRDefault="00051A25" w:rsidP="00051A25">
      <w:pPr>
        <w:rPr>
          <w:rFonts w:ascii="Tahoma" w:hAnsi="Tahoma" w:cs="Tahoma"/>
          <w:sz w:val="20"/>
        </w:rPr>
      </w:pPr>
      <w:r>
        <w:rPr>
          <w:rFonts w:ascii="Tahoma" w:hAnsi="Tahoma" w:cs="Tahoma"/>
          <w:sz w:val="20"/>
        </w:rPr>
        <w:t>Determine overall reductions (if any) in participants’ DBI scores: if significant reductions in DBIs are found, this will fulfil the Primary Objective of the study</w:t>
      </w:r>
      <w:r w:rsidR="003D6902">
        <w:rPr>
          <w:rFonts w:ascii="Tahoma" w:hAnsi="Tahoma" w:cs="Tahoma"/>
          <w:sz w:val="20"/>
        </w:rPr>
        <w:t>.</w:t>
      </w:r>
    </w:p>
    <w:p w:rsidR="00051A25" w:rsidRPr="00A30E82" w:rsidRDefault="00051A25" w:rsidP="00051A25">
      <w:pPr>
        <w:rPr>
          <w:rFonts w:ascii="Tahoma" w:hAnsi="Tahoma" w:cs="Tahoma"/>
          <w:i/>
          <w:sz w:val="20"/>
        </w:rPr>
      </w:pPr>
      <w:r w:rsidRPr="00A30E82">
        <w:rPr>
          <w:rFonts w:ascii="Tahoma" w:hAnsi="Tahoma" w:cs="Tahoma"/>
          <w:i/>
          <w:sz w:val="20"/>
        </w:rPr>
        <w:t>Secondary Outcomes</w:t>
      </w:r>
    </w:p>
    <w:p w:rsidR="00051A25" w:rsidRDefault="00051A25" w:rsidP="00051A25">
      <w:pPr>
        <w:rPr>
          <w:rFonts w:ascii="Tahoma" w:hAnsi="Tahoma" w:cs="Tahoma"/>
          <w:sz w:val="20"/>
        </w:rPr>
      </w:pPr>
      <w:r>
        <w:rPr>
          <w:rFonts w:ascii="Tahoma" w:hAnsi="Tahoma" w:cs="Tahoma"/>
          <w:sz w:val="20"/>
        </w:rPr>
        <w:t>The data set will report the overall incidence of M</w:t>
      </w:r>
      <w:r w:rsidRPr="00EF3FCC">
        <w:rPr>
          <w:rFonts w:ascii="Tahoma" w:hAnsi="Tahoma" w:cs="Tahoma"/>
          <w:sz w:val="20"/>
        </w:rPr>
        <w:t>edium and High</w:t>
      </w:r>
      <w:r>
        <w:rPr>
          <w:rFonts w:ascii="Tahoma" w:hAnsi="Tahoma" w:cs="Tahoma"/>
          <w:sz w:val="20"/>
        </w:rPr>
        <w:t>-range</w:t>
      </w:r>
      <w:r w:rsidRPr="00EF3FCC">
        <w:rPr>
          <w:rFonts w:ascii="Tahoma" w:hAnsi="Tahoma" w:cs="Tahoma"/>
          <w:sz w:val="20"/>
        </w:rPr>
        <w:t xml:space="preserve"> Drug Burden Index scores among the RNSH ED patient</w:t>
      </w:r>
      <w:r>
        <w:rPr>
          <w:rFonts w:ascii="Tahoma" w:hAnsi="Tahoma" w:cs="Tahoma"/>
          <w:sz w:val="20"/>
        </w:rPr>
        <w:t xml:space="preserve"> cohort. This information is especially valuable in the context of other, allied projects aiming to reduce drug-related morbidity and mortality.</w:t>
      </w:r>
    </w:p>
    <w:p w:rsidR="00051A25" w:rsidRDefault="00A30E82" w:rsidP="00051A25">
      <w:pPr>
        <w:rPr>
          <w:rFonts w:ascii="Tahoma" w:hAnsi="Tahoma" w:cs="Tahoma"/>
          <w:sz w:val="20"/>
        </w:rPr>
      </w:pPr>
      <w:r>
        <w:rPr>
          <w:rFonts w:ascii="Tahoma" w:hAnsi="Tahoma" w:cs="Tahoma"/>
          <w:sz w:val="20"/>
        </w:rPr>
        <w:t>The</w:t>
      </w:r>
      <w:r w:rsidR="00051A25">
        <w:rPr>
          <w:rFonts w:ascii="Tahoma" w:hAnsi="Tahoma" w:cs="Tahoma"/>
          <w:sz w:val="20"/>
        </w:rPr>
        <w:t xml:space="preserve"> data will</w:t>
      </w:r>
      <w:r>
        <w:rPr>
          <w:rFonts w:ascii="Tahoma" w:hAnsi="Tahoma" w:cs="Tahoma"/>
          <w:sz w:val="20"/>
        </w:rPr>
        <w:t xml:space="preserve"> allow insights into the sustainability of any GP-initiated moves to reduce patients’ DBIs. This information will be valuable with respect to planning further interventions with the aim of reducing DBIs.</w:t>
      </w:r>
    </w:p>
    <w:p w:rsidR="00A30E82" w:rsidRDefault="00A30E82" w:rsidP="00A30E82">
      <w:pPr>
        <w:rPr>
          <w:rFonts w:ascii="Tahoma" w:hAnsi="Tahoma" w:cs="Tahoma"/>
          <w:sz w:val="20"/>
        </w:rPr>
      </w:pPr>
      <w:r>
        <w:rPr>
          <w:rFonts w:ascii="Tahoma" w:hAnsi="Tahoma" w:cs="Tahoma"/>
          <w:sz w:val="20"/>
        </w:rPr>
        <w:t>Information linking DBIs to re-presentation rates is valuable in the context of other, allied projects aiming to reduce drug-related morbidity and mortality.</w:t>
      </w:r>
    </w:p>
    <w:p w:rsidR="008A2155" w:rsidRDefault="008A2155">
      <w:pPr>
        <w:rPr>
          <w:rFonts w:ascii="Calibri" w:eastAsia="Times New Roman" w:hAnsi="Calibri" w:cs="Times New Roman"/>
          <w:b/>
          <w:bCs/>
          <w:color w:val="000000"/>
        </w:rPr>
      </w:pPr>
      <w:r>
        <w:rPr>
          <w:rFonts w:ascii="Calibri" w:eastAsia="Times New Roman" w:hAnsi="Calibri" w:cs="Times New Roman"/>
          <w:b/>
          <w:bCs/>
          <w:color w:val="000000"/>
        </w:rPr>
        <w:br w:type="page"/>
      </w:r>
    </w:p>
    <w:p w:rsidR="00FE720D" w:rsidRPr="00FE720D" w:rsidRDefault="00FE720D" w:rsidP="00EF3FCC">
      <w:pPr>
        <w:keepNext/>
        <w:keepLines/>
        <w:numPr>
          <w:ilvl w:val="0"/>
          <w:numId w:val="15"/>
        </w:numPr>
        <w:spacing w:after="120" w:line="240" w:lineRule="auto"/>
        <w:outlineLvl w:val="0"/>
        <w:rPr>
          <w:rFonts w:ascii="Calibri" w:eastAsia="Times New Roman" w:hAnsi="Calibri" w:cs="Times New Roman"/>
          <w:b/>
          <w:bCs/>
          <w:color w:val="000000"/>
        </w:rPr>
      </w:pPr>
      <w:r w:rsidRPr="00FE720D">
        <w:rPr>
          <w:rFonts w:ascii="Calibri" w:eastAsia="Times New Roman" w:hAnsi="Calibri" w:cs="Times New Roman"/>
          <w:b/>
          <w:bCs/>
          <w:color w:val="000000"/>
        </w:rPr>
        <w:lastRenderedPageBreak/>
        <w:t>PARTICIPANT ENROLL</w:t>
      </w:r>
      <w:r w:rsidR="00730460">
        <w:rPr>
          <w:rFonts w:ascii="Calibri" w:eastAsia="Times New Roman" w:hAnsi="Calibri" w:cs="Times New Roman"/>
          <w:b/>
          <w:bCs/>
          <w:color w:val="000000"/>
        </w:rPr>
        <w:t>MENT</w:t>
      </w:r>
    </w:p>
    <w:p w:rsidR="00FE720D" w:rsidRPr="00FE720D" w:rsidRDefault="00FE720D" w:rsidP="005A6F21">
      <w:pPr>
        <w:numPr>
          <w:ilvl w:val="1"/>
          <w:numId w:val="15"/>
        </w:numPr>
        <w:spacing w:after="120" w:line="240" w:lineRule="auto"/>
        <w:contextualSpacing/>
        <w:rPr>
          <w:rFonts w:ascii="Calibri" w:eastAsia="Times New Roman" w:hAnsi="Calibri" w:cs="Times New Roman"/>
          <w:color w:val="000000"/>
        </w:rPr>
      </w:pPr>
      <w:r w:rsidRPr="00FE720D">
        <w:rPr>
          <w:rFonts w:ascii="Calibri" w:eastAsia="Times New Roman" w:hAnsi="Calibri" w:cs="Times New Roman"/>
          <w:b/>
          <w:color w:val="000000"/>
        </w:rPr>
        <w:t>Recruitment</w:t>
      </w:r>
    </w:p>
    <w:p w:rsidR="0042326C" w:rsidRPr="00E913DD" w:rsidRDefault="0042326C" w:rsidP="00E913DD">
      <w:pPr>
        <w:rPr>
          <w:rFonts w:ascii="Tahoma" w:hAnsi="Tahoma" w:cs="Tahoma"/>
          <w:sz w:val="20"/>
        </w:rPr>
      </w:pPr>
      <w:r w:rsidRPr="00E913DD">
        <w:rPr>
          <w:rFonts w:ascii="Tahoma" w:hAnsi="Tahoma" w:cs="Tahoma"/>
          <w:sz w:val="20"/>
        </w:rPr>
        <w:t>All elderly patients (&gt;65 years of age) without si</w:t>
      </w:r>
      <w:r w:rsidR="008D54D5">
        <w:rPr>
          <w:rFonts w:ascii="Tahoma" w:hAnsi="Tahoma" w:cs="Tahoma"/>
          <w:sz w:val="20"/>
        </w:rPr>
        <w:t xml:space="preserve">gnificant cognitive impairments, who are currently taking at least one prescribed medication, </w:t>
      </w:r>
      <w:r w:rsidRPr="00E913DD">
        <w:rPr>
          <w:rFonts w:ascii="Tahoma" w:hAnsi="Tahoma" w:cs="Tahoma"/>
          <w:sz w:val="20"/>
        </w:rPr>
        <w:t>who present to the ED and are later discharged from ED to their home are potential participants. Potential participants will have been screened for cognitive status as part of the routine ED process. Patients scoring above 4 on a six item screener (SIS), and who are to be discharged to home, will be invited to join this study.</w:t>
      </w:r>
    </w:p>
    <w:p w:rsidR="0042326C" w:rsidRPr="00E913DD" w:rsidRDefault="0042326C" w:rsidP="00E913DD">
      <w:pPr>
        <w:rPr>
          <w:rFonts w:ascii="Tahoma" w:hAnsi="Tahoma" w:cs="Tahoma"/>
          <w:sz w:val="20"/>
        </w:rPr>
      </w:pPr>
      <w:r w:rsidRPr="00E913DD">
        <w:rPr>
          <w:rFonts w:ascii="Tahoma" w:hAnsi="Tahoma" w:cs="Tahoma"/>
          <w:sz w:val="20"/>
        </w:rPr>
        <w:t>Potential particip</w:t>
      </w:r>
      <w:r w:rsidR="00730460" w:rsidRPr="00E913DD">
        <w:rPr>
          <w:rFonts w:ascii="Tahoma" w:hAnsi="Tahoma" w:cs="Tahoma"/>
          <w:sz w:val="20"/>
        </w:rPr>
        <w:t>ants will be approached by the R</w:t>
      </w:r>
      <w:r w:rsidRPr="00E913DD">
        <w:rPr>
          <w:rFonts w:ascii="Tahoma" w:hAnsi="Tahoma" w:cs="Tahoma"/>
          <w:sz w:val="20"/>
        </w:rPr>
        <w:t xml:space="preserve">esearch </w:t>
      </w:r>
      <w:r w:rsidR="008D54D5">
        <w:rPr>
          <w:rFonts w:ascii="Tahoma" w:hAnsi="Tahoma" w:cs="Tahoma"/>
          <w:sz w:val="20"/>
        </w:rPr>
        <w:t>P</w:t>
      </w:r>
      <w:r w:rsidR="00504A05">
        <w:rPr>
          <w:rFonts w:ascii="Tahoma" w:hAnsi="Tahoma" w:cs="Tahoma"/>
          <w:sz w:val="20"/>
        </w:rPr>
        <w:t>harmacis</w:t>
      </w:r>
      <w:r w:rsidRPr="00E913DD">
        <w:rPr>
          <w:rFonts w:ascii="Tahoma" w:hAnsi="Tahoma" w:cs="Tahoma"/>
          <w:sz w:val="20"/>
        </w:rPr>
        <w:t>t</w:t>
      </w:r>
      <w:r w:rsidR="00504A05">
        <w:rPr>
          <w:rFonts w:ascii="Tahoma" w:hAnsi="Tahoma" w:cs="Tahoma"/>
          <w:sz w:val="20"/>
        </w:rPr>
        <w:t xml:space="preserve"> (RP)</w:t>
      </w:r>
      <w:r w:rsidRPr="00E913DD">
        <w:rPr>
          <w:rFonts w:ascii="Tahoma" w:hAnsi="Tahoma" w:cs="Tahoma"/>
          <w:sz w:val="20"/>
        </w:rPr>
        <w:t xml:space="preserve"> after the decision has been made to discharge them to home</w:t>
      </w:r>
      <w:r w:rsidR="00730460" w:rsidRPr="00E913DD">
        <w:rPr>
          <w:rFonts w:ascii="Tahoma" w:hAnsi="Tahoma" w:cs="Tahoma"/>
          <w:sz w:val="20"/>
        </w:rPr>
        <w:t xml:space="preserve">. The </w:t>
      </w:r>
      <w:r w:rsidR="00504A05">
        <w:rPr>
          <w:rFonts w:ascii="Tahoma" w:hAnsi="Tahoma" w:cs="Tahoma"/>
          <w:sz w:val="20"/>
        </w:rPr>
        <w:t>RP</w:t>
      </w:r>
      <w:r w:rsidR="00730460" w:rsidRPr="00E913DD">
        <w:rPr>
          <w:rFonts w:ascii="Tahoma" w:hAnsi="Tahoma" w:cs="Tahoma"/>
          <w:sz w:val="20"/>
        </w:rPr>
        <w:t xml:space="preserve"> will introduce him/her</w:t>
      </w:r>
      <w:r w:rsidRPr="00E913DD">
        <w:rPr>
          <w:rFonts w:ascii="Tahoma" w:hAnsi="Tahoma" w:cs="Tahoma"/>
          <w:sz w:val="20"/>
        </w:rPr>
        <w:t xml:space="preserve">self and ask the patient if they are interested in hearing about a research project which they could potentially participate in. The </w:t>
      </w:r>
      <w:r w:rsidR="00504A05">
        <w:rPr>
          <w:rFonts w:ascii="Tahoma" w:hAnsi="Tahoma" w:cs="Tahoma"/>
          <w:sz w:val="20"/>
        </w:rPr>
        <w:t>RP</w:t>
      </w:r>
      <w:r w:rsidRPr="00E913DD">
        <w:rPr>
          <w:rFonts w:ascii="Tahoma" w:hAnsi="Tahoma" w:cs="Tahoma"/>
          <w:sz w:val="20"/>
        </w:rPr>
        <w:t xml:space="preserve"> will give a short verbal explanation of the project, and if the person indicates that they are interested, will provide the potential participant with an information sheet and consent form. The </w:t>
      </w:r>
      <w:r w:rsidR="00504A05">
        <w:rPr>
          <w:rFonts w:ascii="Tahoma" w:hAnsi="Tahoma" w:cs="Tahoma"/>
          <w:sz w:val="20"/>
        </w:rPr>
        <w:t>RP</w:t>
      </w:r>
      <w:r w:rsidRPr="00E913DD">
        <w:rPr>
          <w:rFonts w:ascii="Tahoma" w:hAnsi="Tahoma" w:cs="Tahoma"/>
          <w:sz w:val="20"/>
        </w:rPr>
        <w:t xml:space="preserve"> will go through these documents with the person if required and will answer any questions about the project. If the person decides to participate they will be requested to sign the Consent form. It will be made clear to all potential participants that their participation is entirely voluntary, can be withdrawn with no consequences at any time, and that their care will be completely unaffected by their decisions in this matter.</w:t>
      </w:r>
    </w:p>
    <w:p w:rsidR="00FE720D" w:rsidRPr="004E2017" w:rsidRDefault="00FE720D" w:rsidP="005A6F21">
      <w:pPr>
        <w:pStyle w:val="ListParagraph"/>
        <w:numPr>
          <w:ilvl w:val="1"/>
          <w:numId w:val="15"/>
        </w:numPr>
        <w:spacing w:after="120" w:line="240" w:lineRule="auto"/>
        <w:jc w:val="both"/>
        <w:rPr>
          <w:b/>
          <w:color w:val="000000"/>
        </w:rPr>
      </w:pPr>
      <w:r w:rsidRPr="004E2017">
        <w:rPr>
          <w:b/>
          <w:color w:val="000000"/>
        </w:rPr>
        <w:t>Eligibility Criteria</w:t>
      </w:r>
    </w:p>
    <w:p w:rsidR="00FE720D" w:rsidRPr="004E2017" w:rsidRDefault="00FE720D" w:rsidP="005A6F21">
      <w:pPr>
        <w:pStyle w:val="ListParagraph"/>
        <w:numPr>
          <w:ilvl w:val="2"/>
          <w:numId w:val="15"/>
        </w:numPr>
        <w:spacing w:after="120" w:line="240" w:lineRule="auto"/>
        <w:ind w:left="1797"/>
        <w:jc w:val="both"/>
        <w:rPr>
          <w:b/>
          <w:color w:val="000000"/>
        </w:rPr>
      </w:pPr>
      <w:r w:rsidRPr="004E2017">
        <w:rPr>
          <w:b/>
          <w:color w:val="000000"/>
        </w:rPr>
        <w:t>Inclusion Criteria</w:t>
      </w:r>
    </w:p>
    <w:p w:rsidR="00FE720D" w:rsidRPr="00403DF2" w:rsidRDefault="00403DF2" w:rsidP="005A6F21">
      <w:pPr>
        <w:spacing w:after="120" w:line="240" w:lineRule="auto"/>
        <w:rPr>
          <w:rFonts w:ascii="Tahoma" w:hAnsi="Tahoma" w:cs="Tahoma"/>
        </w:rPr>
      </w:pPr>
      <w:r w:rsidRPr="00403DF2">
        <w:rPr>
          <w:rFonts w:ascii="Tahoma" w:hAnsi="Tahoma" w:cs="Tahoma"/>
        </w:rPr>
        <w:t xml:space="preserve">Inclusion criteria: Patients &gt; 65 years of age </w:t>
      </w:r>
      <w:r w:rsidR="00504A05">
        <w:rPr>
          <w:rFonts w:ascii="Tahoma" w:hAnsi="Tahoma" w:cs="Tahoma"/>
        </w:rPr>
        <w:t xml:space="preserve">who are currently taking at least one prescribed medication, </w:t>
      </w:r>
      <w:r w:rsidRPr="00403DF2">
        <w:rPr>
          <w:rFonts w:ascii="Tahoma" w:hAnsi="Tahoma" w:cs="Tahoma"/>
        </w:rPr>
        <w:t>without significant cognitive impairment (ie Six Item Screener score of &gt;4)</w:t>
      </w:r>
      <w:r w:rsidR="00504A05">
        <w:rPr>
          <w:rFonts w:ascii="Tahoma" w:hAnsi="Tahoma" w:cs="Tahoma"/>
        </w:rPr>
        <w:t>,</w:t>
      </w:r>
      <w:r w:rsidRPr="00403DF2">
        <w:rPr>
          <w:rFonts w:ascii="Tahoma" w:hAnsi="Tahoma" w:cs="Tahoma"/>
        </w:rPr>
        <w:t xml:space="preserve"> who have attended RNSH Emergency Department and were discharged to home.</w:t>
      </w:r>
    </w:p>
    <w:p w:rsidR="00FE720D" w:rsidRPr="004E2017" w:rsidRDefault="00FE720D" w:rsidP="005A6F21">
      <w:pPr>
        <w:pStyle w:val="ListParagraph"/>
        <w:numPr>
          <w:ilvl w:val="2"/>
          <w:numId w:val="15"/>
        </w:numPr>
        <w:spacing w:after="120" w:line="240" w:lineRule="auto"/>
        <w:ind w:left="1797"/>
        <w:jc w:val="both"/>
        <w:rPr>
          <w:b/>
          <w:color w:val="000000"/>
        </w:rPr>
      </w:pPr>
      <w:r w:rsidRPr="004E2017">
        <w:rPr>
          <w:b/>
          <w:color w:val="000000"/>
        </w:rPr>
        <w:t>Exclusion Criteria</w:t>
      </w:r>
    </w:p>
    <w:p w:rsidR="00FE720D" w:rsidRPr="00403DF2" w:rsidRDefault="00403DF2" w:rsidP="005A6F21">
      <w:pPr>
        <w:spacing w:after="120" w:line="240" w:lineRule="auto"/>
        <w:rPr>
          <w:rFonts w:ascii="Tahoma" w:hAnsi="Tahoma" w:cs="Tahoma"/>
        </w:rPr>
      </w:pPr>
      <w:r w:rsidRPr="00403DF2">
        <w:rPr>
          <w:rFonts w:ascii="Tahoma" w:hAnsi="Tahoma" w:cs="Tahoma"/>
        </w:rPr>
        <w:t xml:space="preserve">Exclusion criteria: Patients below the age of 65 years, </w:t>
      </w:r>
      <w:r w:rsidR="00504A05">
        <w:rPr>
          <w:rFonts w:ascii="Tahoma" w:hAnsi="Tahoma" w:cs="Tahoma"/>
        </w:rPr>
        <w:t>patients</w:t>
      </w:r>
      <w:r w:rsidRPr="00403DF2">
        <w:rPr>
          <w:rFonts w:ascii="Tahoma" w:hAnsi="Tahoma" w:cs="Tahoma"/>
        </w:rPr>
        <w:t xml:space="preserve"> who</w:t>
      </w:r>
      <w:r>
        <w:rPr>
          <w:rFonts w:ascii="Tahoma" w:hAnsi="Tahoma" w:cs="Tahoma"/>
        </w:rPr>
        <w:t xml:space="preserve"> </w:t>
      </w:r>
      <w:r w:rsidR="00504A05">
        <w:rPr>
          <w:rFonts w:ascii="Tahoma" w:hAnsi="Tahoma" w:cs="Tahoma"/>
        </w:rPr>
        <w:t>have</w:t>
      </w:r>
      <w:r w:rsidRPr="00403DF2">
        <w:rPr>
          <w:rFonts w:ascii="Tahoma" w:hAnsi="Tahoma" w:cs="Tahoma"/>
        </w:rPr>
        <w:t xml:space="preserve"> significant cognitive impairments,</w:t>
      </w:r>
      <w:r w:rsidR="00504A05">
        <w:rPr>
          <w:rFonts w:ascii="Tahoma" w:hAnsi="Tahoma" w:cs="Tahoma"/>
        </w:rPr>
        <w:t xml:space="preserve"> patients who are not taking any prescribed medications</w:t>
      </w:r>
      <w:r w:rsidRPr="00403DF2">
        <w:rPr>
          <w:rFonts w:ascii="Tahoma" w:hAnsi="Tahoma" w:cs="Tahoma"/>
        </w:rPr>
        <w:t xml:space="preserve"> or </w:t>
      </w:r>
      <w:r>
        <w:rPr>
          <w:rFonts w:ascii="Tahoma" w:hAnsi="Tahoma" w:cs="Tahoma"/>
        </w:rPr>
        <w:t xml:space="preserve">patients </w:t>
      </w:r>
      <w:r w:rsidRPr="00403DF2">
        <w:rPr>
          <w:rFonts w:ascii="Tahoma" w:hAnsi="Tahoma" w:cs="Tahoma"/>
        </w:rPr>
        <w:t xml:space="preserve">who are admitted to RNSH as in-patients or who are </w:t>
      </w:r>
      <w:r>
        <w:rPr>
          <w:rFonts w:ascii="Tahoma" w:hAnsi="Tahoma" w:cs="Tahoma"/>
        </w:rPr>
        <w:t>transferred as in -patients</w:t>
      </w:r>
      <w:r w:rsidRPr="00403DF2">
        <w:rPr>
          <w:rFonts w:ascii="Tahoma" w:hAnsi="Tahoma" w:cs="Tahoma"/>
        </w:rPr>
        <w:t xml:space="preserve"> to another care facility (eg rehab, private hospital)</w:t>
      </w:r>
      <w:r>
        <w:rPr>
          <w:rFonts w:ascii="Tahoma" w:hAnsi="Tahoma" w:cs="Tahoma"/>
        </w:rPr>
        <w:t>.</w:t>
      </w:r>
      <w:r w:rsidRPr="00403DF2">
        <w:rPr>
          <w:rFonts w:ascii="Tahoma" w:hAnsi="Tahoma" w:cs="Tahoma"/>
        </w:rPr>
        <w:t xml:space="preserve"> </w:t>
      </w:r>
    </w:p>
    <w:p w:rsidR="00FE720D" w:rsidRPr="004E2017" w:rsidRDefault="00FE720D" w:rsidP="005A6F21">
      <w:pPr>
        <w:pStyle w:val="Heading1"/>
        <w:numPr>
          <w:ilvl w:val="0"/>
          <w:numId w:val="15"/>
        </w:numPr>
        <w:spacing w:after="120"/>
      </w:pPr>
      <w:r w:rsidRPr="004E2017">
        <w:t>Informed Consent Process</w:t>
      </w:r>
    </w:p>
    <w:p w:rsidR="00044CFB" w:rsidRPr="00EC6299" w:rsidRDefault="00044CFB" w:rsidP="000A2328">
      <w:pPr>
        <w:spacing w:after="120" w:line="240" w:lineRule="auto"/>
        <w:rPr>
          <w:rFonts w:ascii="Tahoma" w:hAnsi="Tahoma" w:cs="Tahoma"/>
          <w:highlight w:val="yellow"/>
        </w:rPr>
      </w:pPr>
      <w:r w:rsidRPr="00EC6299">
        <w:rPr>
          <w:rFonts w:ascii="Tahoma" w:hAnsi="Tahoma" w:cs="Tahoma"/>
          <w:highlight w:val="yellow"/>
        </w:rPr>
        <w:t>With respect to our pre-trial audit, we are seeking to waive consent for the collection of these data. It is impracticable to obtain consent from all participants not least because many patients will present at a time of day when the Research Pharmacist is not present. We have undertaken a risk assessment of this approach which indicates that the sole risk associated with the collection of these data is that confidentiality may be breached. We consider that we can safeguard against any harm occurring via this route by adhering to strict Privacy Protection principles and by de-identifying the data at the earliest possibility. After data cleaning, MRNs will be permanently removed. No person will have access to these data except the Research Pharmacist and the Study Investigators: the confidentiality and privacy conditions set out in elsewhere in this Protocol will also apply to the audit data. We submit that this proposal satisfies the conditions for a waiver set out in the National Statement section 2.3.10.</w:t>
      </w:r>
    </w:p>
    <w:p w:rsidR="00E94D62" w:rsidRPr="000A2328" w:rsidRDefault="00044CFB" w:rsidP="000A2328">
      <w:pPr>
        <w:spacing w:after="120" w:line="240" w:lineRule="auto"/>
        <w:rPr>
          <w:rFonts w:ascii="Tahoma" w:hAnsi="Tahoma" w:cs="Tahoma"/>
        </w:rPr>
      </w:pPr>
      <w:r w:rsidRPr="00EC6299">
        <w:rPr>
          <w:rFonts w:ascii="Tahoma" w:hAnsi="Tahoma" w:cs="Tahoma"/>
          <w:highlight w:val="yellow"/>
        </w:rPr>
        <w:t>With respect to the trial process (ie DBI calculations), a</w:t>
      </w:r>
      <w:r w:rsidR="00E94D62" w:rsidRPr="00EC6299">
        <w:rPr>
          <w:rFonts w:ascii="Tahoma" w:hAnsi="Tahoma" w:cs="Tahoma"/>
          <w:highlight w:val="yellow"/>
        </w:rPr>
        <w:t xml:space="preserve">fter having identified potential participants and gained the permission of the treating doctor, the </w:t>
      </w:r>
      <w:r w:rsidR="00504A05" w:rsidRPr="00EC6299">
        <w:rPr>
          <w:rFonts w:ascii="Tahoma" w:hAnsi="Tahoma" w:cs="Tahoma"/>
          <w:highlight w:val="yellow"/>
        </w:rPr>
        <w:t>RP</w:t>
      </w:r>
      <w:r w:rsidR="00E94D62" w:rsidRPr="00EC6299">
        <w:rPr>
          <w:rFonts w:ascii="Tahoma" w:hAnsi="Tahoma" w:cs="Tahoma"/>
          <w:highlight w:val="yellow"/>
        </w:rPr>
        <w:t xml:space="preserve"> will approach</w:t>
      </w:r>
      <w:r w:rsidR="00504A05" w:rsidRPr="00EC6299">
        <w:rPr>
          <w:rFonts w:ascii="Tahoma" w:hAnsi="Tahoma" w:cs="Tahoma"/>
          <w:highlight w:val="yellow"/>
        </w:rPr>
        <w:t xml:space="preserve"> the patient, introduce him/her</w:t>
      </w:r>
      <w:r w:rsidR="00E94D62" w:rsidRPr="00EC6299">
        <w:rPr>
          <w:rFonts w:ascii="Tahoma" w:hAnsi="Tahoma" w:cs="Tahoma"/>
          <w:highlight w:val="yellow"/>
        </w:rPr>
        <w:t xml:space="preserve">self, and briefly explain the study to the patient. If the patient shows interest in the study, the </w:t>
      </w:r>
      <w:r w:rsidR="00504A05" w:rsidRPr="00EC6299">
        <w:rPr>
          <w:rFonts w:ascii="Tahoma" w:hAnsi="Tahoma" w:cs="Tahoma"/>
          <w:highlight w:val="yellow"/>
        </w:rPr>
        <w:t>RP</w:t>
      </w:r>
      <w:r w:rsidR="00E94D62" w:rsidRPr="00EC6299">
        <w:rPr>
          <w:rFonts w:ascii="Tahoma" w:hAnsi="Tahoma" w:cs="Tahoma"/>
          <w:highlight w:val="yellow"/>
        </w:rPr>
        <w:t xml:space="preserve"> will explain the study in more detail and give the patient an information sheet. The </w:t>
      </w:r>
      <w:r w:rsidR="00504A05" w:rsidRPr="00EC6299">
        <w:rPr>
          <w:rFonts w:ascii="Tahoma" w:hAnsi="Tahoma" w:cs="Tahoma"/>
          <w:highlight w:val="yellow"/>
        </w:rPr>
        <w:t>RP</w:t>
      </w:r>
      <w:r w:rsidR="00E94D62" w:rsidRPr="00EC6299">
        <w:rPr>
          <w:rFonts w:ascii="Tahoma" w:hAnsi="Tahoma" w:cs="Tahoma"/>
          <w:highlight w:val="yellow"/>
        </w:rPr>
        <w:t xml:space="preserve"> will encourage potential participants to ask any questions they may have, and will ensure that it is understood that participation is voluntary, any </w:t>
      </w:r>
      <w:r w:rsidR="00E94D62" w:rsidRPr="00EC6299">
        <w:rPr>
          <w:rFonts w:ascii="Tahoma" w:hAnsi="Tahoma" w:cs="Tahoma"/>
          <w:highlight w:val="yellow"/>
        </w:rPr>
        <w:lastRenderedPageBreak/>
        <w:t>information given will be treated in confidence, and that consent can be withdrawn at any point without affecting their treatment or their relationship with their treating team. The patient will then be asked to sign a consent form.</w:t>
      </w:r>
    </w:p>
    <w:p w:rsidR="00FE720D" w:rsidRPr="004E2017" w:rsidRDefault="00B67218" w:rsidP="005A6F21">
      <w:pPr>
        <w:pStyle w:val="ListParagraph"/>
        <w:numPr>
          <w:ilvl w:val="1"/>
          <w:numId w:val="15"/>
        </w:numPr>
        <w:spacing w:after="120" w:line="240" w:lineRule="auto"/>
        <w:jc w:val="both"/>
        <w:rPr>
          <w:b/>
          <w:color w:val="000000"/>
        </w:rPr>
      </w:pPr>
      <w:r>
        <w:rPr>
          <w:b/>
          <w:color w:val="000000"/>
        </w:rPr>
        <w:t>Participant</w:t>
      </w:r>
      <w:r w:rsidRPr="004E2017">
        <w:rPr>
          <w:b/>
          <w:color w:val="000000"/>
        </w:rPr>
        <w:t xml:space="preserve"> </w:t>
      </w:r>
      <w:r w:rsidR="00FE720D" w:rsidRPr="004E2017">
        <w:rPr>
          <w:b/>
          <w:color w:val="000000"/>
        </w:rPr>
        <w:t>Withdrawal</w:t>
      </w:r>
    </w:p>
    <w:p w:rsidR="00FE720D" w:rsidRPr="004E2017" w:rsidRDefault="00FE720D" w:rsidP="005A6F21">
      <w:pPr>
        <w:pStyle w:val="ListParagraph"/>
        <w:numPr>
          <w:ilvl w:val="2"/>
          <w:numId w:val="15"/>
        </w:numPr>
        <w:spacing w:after="120" w:line="240" w:lineRule="auto"/>
        <w:ind w:left="1797"/>
        <w:jc w:val="both"/>
        <w:rPr>
          <w:b/>
          <w:color w:val="000000"/>
        </w:rPr>
      </w:pPr>
      <w:r w:rsidRPr="004E2017">
        <w:rPr>
          <w:b/>
          <w:color w:val="000000"/>
        </w:rPr>
        <w:t>Reasons for withdrawal</w:t>
      </w:r>
    </w:p>
    <w:p w:rsidR="00403DF2" w:rsidRDefault="00403DF2" w:rsidP="005A6F21">
      <w:pPr>
        <w:spacing w:after="120" w:line="240" w:lineRule="auto"/>
        <w:rPr>
          <w:rFonts w:ascii="Tahoma" w:hAnsi="Tahoma" w:cs="Tahoma"/>
        </w:rPr>
      </w:pPr>
      <w:r w:rsidRPr="00403DF2">
        <w:rPr>
          <w:rFonts w:ascii="Tahoma" w:hAnsi="Tahoma" w:cs="Tahoma"/>
        </w:rPr>
        <w:t>The study is extremely unlikely to be terminated early as it is a low risk, no-intervention study which is fully funded. In the event of early termination there would be no consequences except possibly the need for RNSH to negotiate the return of funds to the grant provider.</w:t>
      </w:r>
    </w:p>
    <w:p w:rsidR="008A2155" w:rsidRPr="00403DF2" w:rsidRDefault="008A2155" w:rsidP="005A6F21">
      <w:pPr>
        <w:spacing w:after="120" w:line="240" w:lineRule="auto"/>
        <w:rPr>
          <w:rFonts w:ascii="Tahoma" w:hAnsi="Tahoma" w:cs="Tahoma"/>
        </w:rPr>
      </w:pPr>
    </w:p>
    <w:p w:rsidR="00FE720D" w:rsidRPr="004E2017" w:rsidRDefault="00FE720D" w:rsidP="005A6F21">
      <w:pPr>
        <w:pStyle w:val="Heading1"/>
        <w:keepLines/>
        <w:numPr>
          <w:ilvl w:val="0"/>
          <w:numId w:val="15"/>
        </w:numPr>
        <w:autoSpaceDE/>
        <w:autoSpaceDN/>
        <w:adjustRightInd/>
        <w:spacing w:after="120"/>
        <w:rPr>
          <w:caps/>
        </w:rPr>
      </w:pPr>
      <w:r w:rsidRPr="004E2017">
        <w:t>STUDY VISITS AND PROCEDURES SCHEDULE</w:t>
      </w:r>
    </w:p>
    <w:tbl>
      <w:tblPr>
        <w:tblStyle w:val="TableGrid"/>
        <w:tblW w:w="0" w:type="auto"/>
        <w:tblLook w:val="04A0" w:firstRow="1" w:lastRow="0" w:firstColumn="1" w:lastColumn="0" w:noHBand="0" w:noVBand="1"/>
      </w:tblPr>
      <w:tblGrid>
        <w:gridCol w:w="1101"/>
        <w:gridCol w:w="2551"/>
        <w:gridCol w:w="2693"/>
        <w:gridCol w:w="2553"/>
      </w:tblGrid>
      <w:tr w:rsidR="00B75816" w:rsidRPr="00B75816" w:rsidTr="00B75816">
        <w:tc>
          <w:tcPr>
            <w:tcW w:w="1101" w:type="dxa"/>
          </w:tcPr>
          <w:p w:rsidR="00B75816" w:rsidRPr="00B75816" w:rsidRDefault="00B75816" w:rsidP="005A6F21">
            <w:pPr>
              <w:spacing w:after="120"/>
              <w:rPr>
                <w:rFonts w:ascii="Tahoma" w:hAnsi="Tahoma" w:cs="Tahoma"/>
                <w:sz w:val="20"/>
                <w:szCs w:val="20"/>
              </w:rPr>
            </w:pPr>
          </w:p>
        </w:tc>
        <w:tc>
          <w:tcPr>
            <w:tcW w:w="2551" w:type="dxa"/>
          </w:tcPr>
          <w:p w:rsidR="00B75816" w:rsidRPr="00B75816" w:rsidRDefault="00B75816" w:rsidP="005A6F21">
            <w:pPr>
              <w:spacing w:after="120"/>
              <w:rPr>
                <w:rFonts w:ascii="Tahoma" w:hAnsi="Tahoma" w:cs="Tahoma"/>
                <w:sz w:val="20"/>
                <w:szCs w:val="20"/>
              </w:rPr>
            </w:pPr>
            <w:r w:rsidRPr="00B75816">
              <w:rPr>
                <w:rFonts w:ascii="Tahoma" w:hAnsi="Tahoma" w:cs="Tahoma"/>
                <w:sz w:val="20"/>
                <w:szCs w:val="20"/>
              </w:rPr>
              <w:t>Event</w:t>
            </w:r>
          </w:p>
        </w:tc>
        <w:tc>
          <w:tcPr>
            <w:tcW w:w="2693" w:type="dxa"/>
          </w:tcPr>
          <w:p w:rsidR="00B75816" w:rsidRPr="00B75816" w:rsidRDefault="00B75816" w:rsidP="005A6F21">
            <w:pPr>
              <w:spacing w:after="120"/>
              <w:rPr>
                <w:rFonts w:ascii="Tahoma" w:hAnsi="Tahoma" w:cs="Tahoma"/>
                <w:sz w:val="20"/>
                <w:szCs w:val="20"/>
              </w:rPr>
            </w:pPr>
            <w:r>
              <w:rPr>
                <w:rFonts w:ascii="Tahoma" w:hAnsi="Tahoma" w:cs="Tahoma"/>
                <w:sz w:val="20"/>
                <w:szCs w:val="20"/>
              </w:rPr>
              <w:t>Information collected from participant</w:t>
            </w:r>
          </w:p>
        </w:tc>
        <w:tc>
          <w:tcPr>
            <w:tcW w:w="2553" w:type="dxa"/>
          </w:tcPr>
          <w:p w:rsidR="00B75816" w:rsidRDefault="00B75816" w:rsidP="00B75816">
            <w:pPr>
              <w:spacing w:after="120"/>
              <w:rPr>
                <w:rFonts w:ascii="Tahoma" w:hAnsi="Tahoma" w:cs="Tahoma"/>
                <w:sz w:val="20"/>
                <w:szCs w:val="20"/>
              </w:rPr>
            </w:pPr>
            <w:r>
              <w:rPr>
                <w:rFonts w:ascii="Tahoma" w:hAnsi="Tahoma" w:cs="Tahoma"/>
                <w:sz w:val="20"/>
                <w:szCs w:val="20"/>
              </w:rPr>
              <w:t>Information collected from ED records</w:t>
            </w:r>
          </w:p>
        </w:tc>
      </w:tr>
      <w:tr w:rsidR="00B75816" w:rsidRPr="00B75816" w:rsidTr="00B75816">
        <w:tc>
          <w:tcPr>
            <w:tcW w:w="1101" w:type="dxa"/>
          </w:tcPr>
          <w:p w:rsidR="00B75816" w:rsidRPr="00B75816" w:rsidRDefault="00B75816" w:rsidP="005A6F21">
            <w:pPr>
              <w:spacing w:after="120"/>
              <w:rPr>
                <w:rFonts w:ascii="Tahoma" w:hAnsi="Tahoma" w:cs="Tahoma"/>
                <w:sz w:val="20"/>
                <w:szCs w:val="20"/>
              </w:rPr>
            </w:pPr>
            <w:r>
              <w:rPr>
                <w:rFonts w:ascii="Tahoma" w:hAnsi="Tahoma" w:cs="Tahoma"/>
                <w:i/>
                <w:sz w:val="20"/>
              </w:rPr>
              <w:t>Data collection point 1</w:t>
            </w:r>
          </w:p>
        </w:tc>
        <w:tc>
          <w:tcPr>
            <w:tcW w:w="2551" w:type="dxa"/>
          </w:tcPr>
          <w:p w:rsidR="00B75816" w:rsidRPr="00B75816" w:rsidRDefault="00B75816" w:rsidP="005A6F21">
            <w:pPr>
              <w:spacing w:after="120"/>
              <w:rPr>
                <w:rFonts w:ascii="Tahoma" w:hAnsi="Tahoma" w:cs="Tahoma"/>
                <w:sz w:val="20"/>
                <w:szCs w:val="20"/>
              </w:rPr>
            </w:pPr>
            <w:r>
              <w:rPr>
                <w:rFonts w:ascii="Tahoma" w:hAnsi="Tahoma" w:cs="Tahoma"/>
                <w:sz w:val="20"/>
                <w:szCs w:val="20"/>
              </w:rPr>
              <w:t>Patient recruited to study whilst in ED</w:t>
            </w:r>
          </w:p>
        </w:tc>
        <w:tc>
          <w:tcPr>
            <w:tcW w:w="2693" w:type="dxa"/>
          </w:tcPr>
          <w:p w:rsidR="00B75816" w:rsidRPr="00B75816" w:rsidRDefault="00B75816" w:rsidP="00B75816">
            <w:pPr>
              <w:spacing w:after="120"/>
              <w:rPr>
                <w:rFonts w:ascii="Tahoma" w:hAnsi="Tahoma" w:cs="Tahoma"/>
                <w:sz w:val="20"/>
                <w:szCs w:val="20"/>
              </w:rPr>
            </w:pPr>
          </w:p>
        </w:tc>
        <w:tc>
          <w:tcPr>
            <w:tcW w:w="2553" w:type="dxa"/>
          </w:tcPr>
          <w:p w:rsidR="00B75816" w:rsidRDefault="00B75816" w:rsidP="005A6F21">
            <w:pPr>
              <w:spacing w:after="120"/>
              <w:rPr>
                <w:rFonts w:ascii="Tahoma" w:hAnsi="Tahoma" w:cs="Tahoma"/>
                <w:sz w:val="20"/>
                <w:szCs w:val="20"/>
              </w:rPr>
            </w:pPr>
            <w:r>
              <w:rPr>
                <w:rFonts w:ascii="Tahoma" w:hAnsi="Tahoma" w:cs="Tahoma"/>
                <w:sz w:val="20"/>
                <w:szCs w:val="20"/>
              </w:rPr>
              <w:t>Prescribed medications</w:t>
            </w:r>
          </w:p>
          <w:p w:rsidR="00B75816" w:rsidRDefault="00B75816" w:rsidP="00B75816">
            <w:pPr>
              <w:spacing w:after="120"/>
              <w:rPr>
                <w:rFonts w:ascii="Tahoma" w:hAnsi="Tahoma" w:cs="Tahoma"/>
                <w:sz w:val="20"/>
                <w:szCs w:val="20"/>
              </w:rPr>
            </w:pPr>
            <w:r>
              <w:rPr>
                <w:rFonts w:ascii="Tahoma" w:hAnsi="Tahoma" w:cs="Tahoma"/>
                <w:sz w:val="20"/>
                <w:szCs w:val="20"/>
              </w:rPr>
              <w:t>Reason for presentation to ED</w:t>
            </w:r>
          </w:p>
          <w:p w:rsidR="00B75816" w:rsidRDefault="00B75816" w:rsidP="00B75816">
            <w:pPr>
              <w:spacing w:after="120"/>
              <w:rPr>
                <w:rFonts w:ascii="Tahoma" w:hAnsi="Tahoma" w:cs="Tahoma"/>
                <w:sz w:val="20"/>
                <w:szCs w:val="20"/>
              </w:rPr>
            </w:pPr>
            <w:r>
              <w:rPr>
                <w:rFonts w:ascii="Tahoma" w:hAnsi="Tahoma" w:cs="Tahoma"/>
                <w:sz w:val="20"/>
                <w:szCs w:val="20"/>
              </w:rPr>
              <w:t>GP</w:t>
            </w:r>
            <w:r w:rsidR="00814D1D">
              <w:rPr>
                <w:rFonts w:ascii="Tahoma" w:hAnsi="Tahoma" w:cs="Tahoma"/>
                <w:sz w:val="20"/>
                <w:szCs w:val="20"/>
              </w:rPr>
              <w:t>’</w:t>
            </w:r>
            <w:r>
              <w:rPr>
                <w:rFonts w:ascii="Tahoma" w:hAnsi="Tahoma" w:cs="Tahoma"/>
                <w:sz w:val="20"/>
                <w:szCs w:val="20"/>
              </w:rPr>
              <w:t>s details</w:t>
            </w:r>
          </w:p>
        </w:tc>
      </w:tr>
      <w:tr w:rsidR="00B75816" w:rsidRPr="00B75816" w:rsidTr="00B75816">
        <w:tc>
          <w:tcPr>
            <w:tcW w:w="1101" w:type="dxa"/>
          </w:tcPr>
          <w:p w:rsidR="00B75816" w:rsidRPr="00B75816" w:rsidRDefault="00B75816" w:rsidP="005A6F21">
            <w:pPr>
              <w:spacing w:after="120"/>
              <w:rPr>
                <w:rFonts w:ascii="Tahoma" w:hAnsi="Tahoma" w:cs="Tahoma"/>
                <w:sz w:val="20"/>
                <w:szCs w:val="20"/>
              </w:rPr>
            </w:pPr>
            <w:r>
              <w:rPr>
                <w:rFonts w:ascii="Tahoma" w:hAnsi="Tahoma" w:cs="Tahoma"/>
                <w:i/>
                <w:sz w:val="20"/>
              </w:rPr>
              <w:t>Data collection point 2</w:t>
            </w:r>
          </w:p>
        </w:tc>
        <w:tc>
          <w:tcPr>
            <w:tcW w:w="2551" w:type="dxa"/>
          </w:tcPr>
          <w:p w:rsidR="00B75816" w:rsidRPr="00B75816" w:rsidRDefault="00B75816" w:rsidP="005A6F21">
            <w:pPr>
              <w:spacing w:after="120"/>
              <w:rPr>
                <w:rFonts w:ascii="Tahoma" w:hAnsi="Tahoma" w:cs="Tahoma"/>
                <w:sz w:val="20"/>
                <w:szCs w:val="20"/>
              </w:rPr>
            </w:pPr>
            <w:r>
              <w:rPr>
                <w:rFonts w:ascii="Tahoma" w:hAnsi="Tahoma" w:cs="Tahoma"/>
                <w:sz w:val="20"/>
                <w:szCs w:val="20"/>
              </w:rPr>
              <w:t>First telephone follow-up interview</w:t>
            </w:r>
          </w:p>
        </w:tc>
        <w:tc>
          <w:tcPr>
            <w:tcW w:w="2693" w:type="dxa"/>
          </w:tcPr>
          <w:p w:rsidR="00B75816" w:rsidRDefault="00B75816" w:rsidP="005A6F21">
            <w:pPr>
              <w:spacing w:after="120"/>
              <w:rPr>
                <w:rFonts w:ascii="Tahoma" w:hAnsi="Tahoma" w:cs="Tahoma"/>
                <w:sz w:val="20"/>
                <w:szCs w:val="20"/>
              </w:rPr>
            </w:pPr>
            <w:r>
              <w:rPr>
                <w:rFonts w:ascii="Tahoma" w:hAnsi="Tahoma" w:cs="Tahoma"/>
                <w:sz w:val="20"/>
                <w:szCs w:val="20"/>
              </w:rPr>
              <w:t>Prescribed medications</w:t>
            </w:r>
          </w:p>
          <w:p w:rsidR="00504A05" w:rsidRPr="00B75816" w:rsidRDefault="00504A05" w:rsidP="005A6F21">
            <w:pPr>
              <w:spacing w:after="120"/>
              <w:rPr>
                <w:rFonts w:ascii="Tahoma" w:hAnsi="Tahoma" w:cs="Tahoma"/>
                <w:sz w:val="20"/>
                <w:szCs w:val="20"/>
              </w:rPr>
            </w:pPr>
            <w:r>
              <w:rPr>
                <w:rFonts w:ascii="Tahoma" w:hAnsi="Tahoma" w:cs="Tahoma"/>
                <w:sz w:val="20"/>
                <w:szCs w:val="20"/>
              </w:rPr>
              <w:t>Any ED re-presentations</w:t>
            </w:r>
          </w:p>
        </w:tc>
        <w:tc>
          <w:tcPr>
            <w:tcW w:w="2553" w:type="dxa"/>
          </w:tcPr>
          <w:p w:rsidR="00B75816" w:rsidRPr="00B75816" w:rsidRDefault="00B75816" w:rsidP="005A6F21">
            <w:pPr>
              <w:spacing w:after="120"/>
              <w:rPr>
                <w:rFonts w:ascii="Tahoma" w:hAnsi="Tahoma" w:cs="Tahoma"/>
                <w:sz w:val="20"/>
                <w:szCs w:val="20"/>
              </w:rPr>
            </w:pPr>
          </w:p>
        </w:tc>
      </w:tr>
      <w:tr w:rsidR="00B75816" w:rsidRPr="00B75816" w:rsidTr="00B75816">
        <w:tc>
          <w:tcPr>
            <w:tcW w:w="1101" w:type="dxa"/>
          </w:tcPr>
          <w:p w:rsidR="00B75816" w:rsidRPr="00B75816" w:rsidRDefault="00B75816" w:rsidP="005A6F21">
            <w:pPr>
              <w:spacing w:after="120"/>
              <w:rPr>
                <w:rFonts w:ascii="Tahoma" w:hAnsi="Tahoma" w:cs="Tahoma"/>
                <w:sz w:val="20"/>
                <w:szCs w:val="20"/>
              </w:rPr>
            </w:pPr>
            <w:r>
              <w:rPr>
                <w:rFonts w:ascii="Tahoma" w:hAnsi="Tahoma" w:cs="Tahoma"/>
                <w:i/>
                <w:sz w:val="20"/>
              </w:rPr>
              <w:t>Data collection point 3</w:t>
            </w:r>
          </w:p>
        </w:tc>
        <w:tc>
          <w:tcPr>
            <w:tcW w:w="2551" w:type="dxa"/>
          </w:tcPr>
          <w:p w:rsidR="00B75816" w:rsidRPr="00B75816" w:rsidRDefault="00B75816" w:rsidP="005A6F21">
            <w:pPr>
              <w:spacing w:after="120"/>
              <w:rPr>
                <w:rFonts w:ascii="Tahoma" w:hAnsi="Tahoma" w:cs="Tahoma"/>
                <w:sz w:val="20"/>
                <w:szCs w:val="20"/>
              </w:rPr>
            </w:pPr>
            <w:r>
              <w:rPr>
                <w:rFonts w:ascii="Tahoma" w:hAnsi="Tahoma" w:cs="Tahoma"/>
                <w:sz w:val="20"/>
                <w:szCs w:val="20"/>
              </w:rPr>
              <w:t>Second telephone follow-up interview</w:t>
            </w:r>
          </w:p>
        </w:tc>
        <w:tc>
          <w:tcPr>
            <w:tcW w:w="2693" w:type="dxa"/>
          </w:tcPr>
          <w:p w:rsidR="00B75816" w:rsidRDefault="00B75816" w:rsidP="005A6F21">
            <w:pPr>
              <w:spacing w:after="120"/>
              <w:rPr>
                <w:rFonts w:ascii="Tahoma" w:hAnsi="Tahoma" w:cs="Tahoma"/>
                <w:sz w:val="20"/>
                <w:szCs w:val="20"/>
              </w:rPr>
            </w:pPr>
            <w:r>
              <w:rPr>
                <w:rFonts w:ascii="Tahoma" w:hAnsi="Tahoma" w:cs="Tahoma"/>
                <w:sz w:val="20"/>
                <w:szCs w:val="20"/>
              </w:rPr>
              <w:t>Prescribed medications</w:t>
            </w:r>
          </w:p>
          <w:p w:rsidR="00B75816" w:rsidRDefault="00B75816" w:rsidP="005A6F21">
            <w:pPr>
              <w:spacing w:after="120"/>
              <w:rPr>
                <w:rFonts w:ascii="Tahoma" w:hAnsi="Tahoma" w:cs="Tahoma"/>
                <w:sz w:val="20"/>
                <w:szCs w:val="20"/>
              </w:rPr>
            </w:pPr>
            <w:r>
              <w:rPr>
                <w:rFonts w:ascii="Tahoma" w:hAnsi="Tahoma" w:cs="Tahoma"/>
                <w:sz w:val="20"/>
                <w:szCs w:val="20"/>
              </w:rPr>
              <w:t>Any ED re-presentations</w:t>
            </w:r>
          </w:p>
          <w:p w:rsidR="00B75816" w:rsidRPr="00B75816" w:rsidRDefault="00B75816" w:rsidP="005A6F21">
            <w:pPr>
              <w:spacing w:after="120"/>
              <w:rPr>
                <w:rFonts w:ascii="Tahoma" w:hAnsi="Tahoma" w:cs="Tahoma"/>
                <w:sz w:val="20"/>
                <w:szCs w:val="20"/>
              </w:rPr>
            </w:pPr>
          </w:p>
        </w:tc>
        <w:tc>
          <w:tcPr>
            <w:tcW w:w="2553" w:type="dxa"/>
          </w:tcPr>
          <w:p w:rsidR="00B75816" w:rsidRPr="00B75816" w:rsidRDefault="00B75816" w:rsidP="005A6F21">
            <w:pPr>
              <w:spacing w:after="120"/>
              <w:rPr>
                <w:rFonts w:ascii="Tahoma" w:hAnsi="Tahoma" w:cs="Tahoma"/>
                <w:sz w:val="20"/>
                <w:szCs w:val="20"/>
              </w:rPr>
            </w:pPr>
          </w:p>
        </w:tc>
      </w:tr>
    </w:tbl>
    <w:p w:rsidR="00B75816" w:rsidRDefault="00B75816" w:rsidP="005A6F21">
      <w:pPr>
        <w:spacing w:after="120" w:line="240" w:lineRule="auto"/>
        <w:rPr>
          <w:rFonts w:cs="Calibri"/>
          <w:color w:val="FF0000"/>
        </w:rPr>
      </w:pPr>
    </w:p>
    <w:p w:rsidR="00FE720D" w:rsidRPr="004E2017" w:rsidRDefault="00FE720D" w:rsidP="005A6F21">
      <w:pPr>
        <w:pStyle w:val="Heading1"/>
        <w:keepLines/>
        <w:numPr>
          <w:ilvl w:val="0"/>
          <w:numId w:val="15"/>
        </w:numPr>
        <w:autoSpaceDE/>
        <w:autoSpaceDN/>
        <w:adjustRightInd/>
        <w:spacing w:after="120"/>
        <w:rPr>
          <w:caps/>
        </w:rPr>
      </w:pPr>
      <w:r w:rsidRPr="004E2017">
        <w:t>ADVERSE EVENT REPORTING</w:t>
      </w:r>
    </w:p>
    <w:p w:rsidR="00814D1D" w:rsidRDefault="00814D1D" w:rsidP="005A6F21">
      <w:pPr>
        <w:spacing w:after="120" w:line="240" w:lineRule="auto"/>
        <w:rPr>
          <w:rFonts w:ascii="Tahoma" w:hAnsi="Tahoma" w:cs="Tahoma"/>
        </w:rPr>
      </w:pPr>
      <w:r w:rsidRPr="00814D1D">
        <w:rPr>
          <w:rFonts w:ascii="Tahoma" w:hAnsi="Tahoma" w:cs="Tahoma"/>
        </w:rPr>
        <w:t>There is a potential</w:t>
      </w:r>
      <w:r>
        <w:rPr>
          <w:rFonts w:ascii="Tahoma" w:hAnsi="Tahoma" w:cs="Tahoma"/>
        </w:rPr>
        <w:t xml:space="preserve"> for participants to become anxious about their medications should they discover </w:t>
      </w:r>
      <w:r w:rsidR="002B4941">
        <w:rPr>
          <w:rFonts w:ascii="Tahoma" w:hAnsi="Tahoma" w:cs="Tahoma"/>
        </w:rPr>
        <w:t>that they have a Medium or High-</w:t>
      </w:r>
      <w:r>
        <w:rPr>
          <w:rFonts w:ascii="Tahoma" w:hAnsi="Tahoma" w:cs="Tahoma"/>
        </w:rPr>
        <w:t>range DBI.</w:t>
      </w:r>
      <w:r w:rsidR="00BB1865">
        <w:rPr>
          <w:rFonts w:ascii="Tahoma" w:hAnsi="Tahoma" w:cs="Tahoma"/>
        </w:rPr>
        <w:t xml:space="preserve"> </w:t>
      </w:r>
      <w:r w:rsidR="002B4941">
        <w:rPr>
          <w:rFonts w:ascii="Tahoma" w:hAnsi="Tahoma" w:cs="Tahoma"/>
        </w:rPr>
        <w:t xml:space="preserve">There is also a potential for participants to decide to cease taking their prescribed medications. </w:t>
      </w:r>
      <w:r w:rsidR="00BB1865">
        <w:rPr>
          <w:rFonts w:ascii="Tahoma" w:hAnsi="Tahoma" w:cs="Tahoma"/>
        </w:rPr>
        <w:t xml:space="preserve">The Patient Information form will contain assurances that </w:t>
      </w:r>
      <w:r w:rsidR="002B4941">
        <w:rPr>
          <w:rFonts w:ascii="Tahoma" w:hAnsi="Tahoma" w:cs="Tahoma"/>
        </w:rPr>
        <w:t>the calculation of a Medium of High-range DBI is not in itself a reason to become unduly concerned, but that it is a reminder to seek an appointment with their GP to discuss and/or review their prescribed medications sooner rather than later. The Patient Information form will also advise patients not to discontinue their medications until they have consulted with their GP.</w:t>
      </w:r>
    </w:p>
    <w:p w:rsidR="008A2155" w:rsidRPr="00814D1D" w:rsidRDefault="008A2155" w:rsidP="005A6F21">
      <w:pPr>
        <w:spacing w:after="120" w:line="240" w:lineRule="auto"/>
        <w:rPr>
          <w:rFonts w:ascii="Tahoma" w:hAnsi="Tahoma" w:cs="Tahoma"/>
        </w:rPr>
      </w:pPr>
    </w:p>
    <w:p w:rsidR="00FE720D" w:rsidRPr="004E2017" w:rsidRDefault="00FE720D" w:rsidP="005A6F21">
      <w:pPr>
        <w:pStyle w:val="Heading1"/>
        <w:keepLines/>
        <w:numPr>
          <w:ilvl w:val="0"/>
          <w:numId w:val="15"/>
        </w:numPr>
        <w:autoSpaceDE/>
        <w:autoSpaceDN/>
        <w:adjustRightInd/>
        <w:spacing w:after="120"/>
        <w:rPr>
          <w:caps/>
        </w:rPr>
      </w:pPr>
      <w:r w:rsidRPr="004E2017">
        <w:t xml:space="preserve">STATISTICAL </w:t>
      </w:r>
      <w:commentRangeStart w:id="1"/>
      <w:r w:rsidRPr="004E2017">
        <w:t>METHODS</w:t>
      </w:r>
      <w:commentRangeEnd w:id="1"/>
      <w:r>
        <w:rPr>
          <w:rStyle w:val="CommentReference"/>
          <w:b w:val="0"/>
          <w:color w:val="auto"/>
        </w:rPr>
        <w:commentReference w:id="1"/>
      </w:r>
    </w:p>
    <w:p w:rsidR="00FE720D" w:rsidRPr="00EC6299" w:rsidRDefault="00FE720D" w:rsidP="005A6F21">
      <w:pPr>
        <w:pStyle w:val="ListParagraph"/>
        <w:numPr>
          <w:ilvl w:val="1"/>
          <w:numId w:val="15"/>
        </w:numPr>
        <w:spacing w:after="120" w:line="240" w:lineRule="auto"/>
        <w:jc w:val="both"/>
        <w:outlineLvl w:val="0"/>
        <w:rPr>
          <w:b/>
          <w:color w:val="000000"/>
          <w:highlight w:val="yellow"/>
        </w:rPr>
      </w:pPr>
      <w:r w:rsidRPr="00EC6299">
        <w:rPr>
          <w:b/>
          <w:color w:val="000000"/>
          <w:highlight w:val="yellow"/>
        </w:rPr>
        <w:t>Sample Size Estimation</w:t>
      </w:r>
    </w:p>
    <w:p w:rsidR="00024135" w:rsidRPr="00EC6299" w:rsidRDefault="00024135" w:rsidP="00024135">
      <w:pPr>
        <w:rPr>
          <w:rFonts w:ascii="Tahoma" w:hAnsi="Tahoma" w:cs="Tahoma"/>
          <w:sz w:val="20"/>
          <w:highlight w:val="yellow"/>
        </w:rPr>
      </w:pPr>
      <w:r w:rsidRPr="00EC6299">
        <w:rPr>
          <w:rFonts w:ascii="Tahoma" w:hAnsi="Tahoma" w:cs="Tahoma"/>
          <w:sz w:val="20"/>
          <w:highlight w:val="yellow"/>
        </w:rPr>
        <w:t>The sample size is limited by the period of available funding for the project (6 months) and the expected number of potential participants presenting to ED during this six month period.  In the absence of any pilot data, if we look at a 50% change in DBI over the pe</w:t>
      </w:r>
      <w:bookmarkStart w:id="2" w:name="_GoBack"/>
      <w:bookmarkEnd w:id="2"/>
      <w:r w:rsidRPr="00EC6299">
        <w:rPr>
          <w:rFonts w:ascii="Tahoma" w:hAnsi="Tahoma" w:cs="Tahoma"/>
          <w:sz w:val="20"/>
          <w:highlight w:val="yellow"/>
        </w:rPr>
        <w:t xml:space="preserve">riod of the study with alpha 0.05/beta 0.2 and 80% power, our target sample is 126 patients over the period of the trial. </w:t>
      </w:r>
    </w:p>
    <w:p w:rsidR="00024135" w:rsidRPr="00EC6299" w:rsidRDefault="00024135" w:rsidP="00024135">
      <w:pPr>
        <w:pStyle w:val="ListParagraph"/>
        <w:numPr>
          <w:ilvl w:val="1"/>
          <w:numId w:val="15"/>
        </w:numPr>
        <w:spacing w:after="120" w:line="240" w:lineRule="auto"/>
        <w:jc w:val="both"/>
        <w:outlineLvl w:val="0"/>
        <w:rPr>
          <w:color w:val="000000"/>
          <w:highlight w:val="yellow"/>
        </w:rPr>
      </w:pPr>
      <w:r w:rsidRPr="00EC6299">
        <w:rPr>
          <w:b/>
          <w:color w:val="000000"/>
          <w:highlight w:val="yellow"/>
        </w:rPr>
        <w:t xml:space="preserve">Statistical Analysis Plan </w:t>
      </w:r>
    </w:p>
    <w:p w:rsidR="00024135" w:rsidRPr="00EC6299" w:rsidRDefault="00024135" w:rsidP="00024135">
      <w:pPr>
        <w:rPr>
          <w:rFonts w:ascii="Tahoma" w:hAnsi="Tahoma" w:cs="Tahoma"/>
          <w:sz w:val="20"/>
          <w:highlight w:val="yellow"/>
        </w:rPr>
      </w:pPr>
      <w:r w:rsidRPr="00EC6299">
        <w:rPr>
          <w:rFonts w:ascii="Tahoma" w:hAnsi="Tahoma" w:cs="Tahoma"/>
          <w:sz w:val="20"/>
          <w:highlight w:val="yellow"/>
        </w:rPr>
        <w:t xml:space="preserve">DBI data collected at the initial ED visit and at subsequent phone interview by the research pharmacist will be analysed by GEE logistics regression analysis using the binary outcome measures </w:t>
      </w:r>
      <w:r w:rsidRPr="00EC6299">
        <w:rPr>
          <w:rFonts w:ascii="Tahoma" w:hAnsi="Tahoma" w:cs="Tahoma"/>
          <w:sz w:val="20"/>
          <w:highlight w:val="yellow"/>
        </w:rPr>
        <w:lastRenderedPageBreak/>
        <w:t xml:space="preserve">of high DBI (&gt; 1.0) vs low/medium DBI (0 – 1.0) and by linear regression analysis for % change/ mean in DBI over time and across groups.  </w:t>
      </w:r>
    </w:p>
    <w:p w:rsidR="00024135" w:rsidRPr="00024135" w:rsidRDefault="00024135" w:rsidP="00024135">
      <w:pPr>
        <w:rPr>
          <w:rFonts w:ascii="Tahoma" w:hAnsi="Tahoma" w:cs="Tahoma"/>
          <w:sz w:val="20"/>
        </w:rPr>
      </w:pPr>
      <w:r w:rsidRPr="00EC6299">
        <w:rPr>
          <w:rFonts w:ascii="Tahoma" w:hAnsi="Tahoma" w:cs="Tahoma"/>
          <w:sz w:val="20"/>
          <w:highlight w:val="yellow"/>
        </w:rPr>
        <w:t>Data analysis will be with IBM SPSS Statistics V22 (2016)</w:t>
      </w:r>
    </w:p>
    <w:p w:rsidR="00FE720D" w:rsidRPr="004E2017" w:rsidRDefault="00FE720D" w:rsidP="00024135">
      <w:pPr>
        <w:pStyle w:val="Heading1"/>
        <w:keepLines/>
        <w:numPr>
          <w:ilvl w:val="0"/>
          <w:numId w:val="15"/>
        </w:numPr>
        <w:autoSpaceDE/>
        <w:autoSpaceDN/>
        <w:adjustRightInd/>
        <w:spacing w:after="120"/>
        <w:rPr>
          <w:caps/>
        </w:rPr>
      </w:pPr>
      <w:r w:rsidRPr="004E2017">
        <w:t>DATA MANAGEMENT</w:t>
      </w:r>
    </w:p>
    <w:p w:rsidR="00FE720D" w:rsidRDefault="00FE720D" w:rsidP="00024135">
      <w:pPr>
        <w:pStyle w:val="ListParagraph"/>
        <w:numPr>
          <w:ilvl w:val="1"/>
          <w:numId w:val="15"/>
        </w:numPr>
        <w:spacing w:after="120" w:line="240" w:lineRule="auto"/>
        <w:jc w:val="both"/>
        <w:rPr>
          <w:b/>
          <w:color w:val="000000"/>
        </w:rPr>
      </w:pPr>
      <w:r w:rsidRPr="004E2017">
        <w:rPr>
          <w:b/>
          <w:color w:val="000000"/>
        </w:rPr>
        <w:t xml:space="preserve">Data Collection </w:t>
      </w:r>
    </w:p>
    <w:p w:rsidR="00D27DE6" w:rsidRPr="00E913DD" w:rsidRDefault="00EF3FCC" w:rsidP="00E913DD">
      <w:pPr>
        <w:rPr>
          <w:rFonts w:ascii="Tahoma" w:hAnsi="Tahoma" w:cs="Tahoma"/>
          <w:sz w:val="20"/>
        </w:rPr>
      </w:pPr>
      <w:r w:rsidRPr="00E913DD">
        <w:rPr>
          <w:rFonts w:ascii="Tahoma" w:hAnsi="Tahoma" w:cs="Tahoma"/>
          <w:sz w:val="20"/>
        </w:rPr>
        <w:t xml:space="preserve">Data for the first DBI calculation will be obtained with the patient’s consent from ED records. Data for the second and third DBI calculations will be obtained from consenting participants by telephone interview. </w:t>
      </w:r>
    </w:p>
    <w:p w:rsidR="00FE720D" w:rsidRPr="004E2017" w:rsidRDefault="00FE720D" w:rsidP="00024135">
      <w:pPr>
        <w:pStyle w:val="ListParagraph"/>
        <w:numPr>
          <w:ilvl w:val="1"/>
          <w:numId w:val="15"/>
        </w:numPr>
        <w:spacing w:after="120" w:line="240" w:lineRule="auto"/>
        <w:jc w:val="both"/>
        <w:rPr>
          <w:b/>
          <w:color w:val="000000"/>
        </w:rPr>
      </w:pPr>
      <w:r w:rsidRPr="004E2017">
        <w:rPr>
          <w:b/>
          <w:color w:val="000000"/>
        </w:rPr>
        <w:t>Data Storage</w:t>
      </w:r>
    </w:p>
    <w:p w:rsidR="00D27DE6" w:rsidRPr="00E913DD" w:rsidRDefault="00EF3FCC" w:rsidP="00E913DD">
      <w:pPr>
        <w:rPr>
          <w:rFonts w:ascii="Tahoma" w:hAnsi="Tahoma" w:cs="Tahoma"/>
          <w:sz w:val="20"/>
        </w:rPr>
      </w:pPr>
      <w:r w:rsidRPr="00E913DD">
        <w:rPr>
          <w:rFonts w:ascii="Tahoma" w:hAnsi="Tahoma" w:cs="Tahoma"/>
          <w:sz w:val="20"/>
        </w:rPr>
        <w:t xml:space="preserve">All data will be entered into the Project Tablet </w:t>
      </w:r>
      <w:r w:rsidR="00A146BE" w:rsidRPr="00E913DD">
        <w:rPr>
          <w:rFonts w:ascii="Tahoma" w:hAnsi="Tahoma" w:cs="Tahoma"/>
          <w:sz w:val="20"/>
        </w:rPr>
        <w:t xml:space="preserve">at the time of data collection </w:t>
      </w:r>
      <w:r w:rsidRPr="00E913DD">
        <w:rPr>
          <w:rFonts w:ascii="Tahoma" w:hAnsi="Tahoma" w:cs="Tahoma"/>
          <w:sz w:val="20"/>
        </w:rPr>
        <w:t xml:space="preserve">in order to calculate DBIs. </w:t>
      </w:r>
      <w:r w:rsidR="00B25488">
        <w:rPr>
          <w:rFonts w:ascii="Tahoma" w:hAnsi="Tahoma" w:cs="Tahoma"/>
          <w:sz w:val="20"/>
        </w:rPr>
        <w:t>All data</w:t>
      </w:r>
      <w:r w:rsidRPr="00E913DD">
        <w:rPr>
          <w:rFonts w:ascii="Tahoma" w:hAnsi="Tahoma" w:cs="Tahoma"/>
          <w:sz w:val="20"/>
        </w:rPr>
        <w:t xml:space="preserve"> will</w:t>
      </w:r>
      <w:r w:rsidR="00B25488">
        <w:rPr>
          <w:rFonts w:ascii="Tahoma" w:hAnsi="Tahoma" w:cs="Tahoma"/>
          <w:sz w:val="20"/>
        </w:rPr>
        <w:t xml:space="preserve"> then</w:t>
      </w:r>
      <w:r w:rsidRPr="00E913DD">
        <w:rPr>
          <w:rFonts w:ascii="Tahoma" w:hAnsi="Tahoma" w:cs="Tahoma"/>
          <w:sz w:val="20"/>
        </w:rPr>
        <w:t xml:space="preserve"> be entered into spreadsheets on a password protected computer located within a secure office area</w:t>
      </w:r>
      <w:r w:rsidR="00A146BE" w:rsidRPr="00E913DD">
        <w:rPr>
          <w:rFonts w:ascii="Tahoma" w:hAnsi="Tahoma" w:cs="Tahoma"/>
          <w:sz w:val="20"/>
        </w:rPr>
        <w:t>, which will be</w:t>
      </w:r>
      <w:r w:rsidRPr="00E913DD">
        <w:rPr>
          <w:rFonts w:ascii="Tahoma" w:hAnsi="Tahoma" w:cs="Tahoma"/>
          <w:sz w:val="20"/>
        </w:rPr>
        <w:t xml:space="preserve"> backed up weekly. The tablet and backup will be stored in a locked cabinet in the office of the PI (Dr Mark Gillett). All data analysis will be undertaken by the Research </w:t>
      </w:r>
      <w:r w:rsidR="00504A05">
        <w:rPr>
          <w:rFonts w:ascii="Tahoma" w:hAnsi="Tahoma" w:cs="Tahoma"/>
          <w:sz w:val="20"/>
        </w:rPr>
        <w:t>Pharmacist</w:t>
      </w:r>
      <w:r w:rsidRPr="00E913DD">
        <w:rPr>
          <w:rFonts w:ascii="Tahoma" w:hAnsi="Tahoma" w:cs="Tahoma"/>
          <w:sz w:val="20"/>
        </w:rPr>
        <w:t xml:space="preserve">, </w:t>
      </w:r>
      <w:r w:rsidR="00A146BE" w:rsidRPr="00E913DD">
        <w:rPr>
          <w:rFonts w:ascii="Tahoma" w:hAnsi="Tahoma" w:cs="Tahoma"/>
          <w:sz w:val="20"/>
        </w:rPr>
        <w:t>on the project computer, within</w:t>
      </w:r>
      <w:r w:rsidRPr="00E913DD">
        <w:rPr>
          <w:rFonts w:ascii="Tahoma" w:hAnsi="Tahoma" w:cs="Tahoma"/>
          <w:sz w:val="20"/>
        </w:rPr>
        <w:t xml:space="preserve"> the secure office area in the ED. No person other than the</w:t>
      </w:r>
      <w:r w:rsidR="00504A05">
        <w:rPr>
          <w:rFonts w:ascii="Tahoma" w:hAnsi="Tahoma" w:cs="Tahoma"/>
          <w:sz w:val="20"/>
        </w:rPr>
        <w:t xml:space="preserve"> </w:t>
      </w:r>
      <w:r w:rsidRPr="00E913DD">
        <w:rPr>
          <w:rFonts w:ascii="Tahoma" w:hAnsi="Tahoma" w:cs="Tahoma"/>
          <w:sz w:val="20"/>
        </w:rPr>
        <w:t xml:space="preserve">Investigators and Research Pharmacist shall have access to the data. </w:t>
      </w:r>
    </w:p>
    <w:p w:rsidR="008659B6" w:rsidRDefault="008659B6" w:rsidP="00024135">
      <w:pPr>
        <w:pStyle w:val="ListParagraph"/>
        <w:numPr>
          <w:ilvl w:val="1"/>
          <w:numId w:val="15"/>
        </w:numPr>
        <w:spacing w:after="120" w:line="240" w:lineRule="auto"/>
        <w:jc w:val="both"/>
        <w:rPr>
          <w:b/>
          <w:color w:val="000000"/>
        </w:rPr>
      </w:pPr>
      <w:r>
        <w:rPr>
          <w:b/>
          <w:color w:val="000000"/>
        </w:rPr>
        <w:t>Data confidentiality</w:t>
      </w:r>
    </w:p>
    <w:p w:rsidR="00370CCB" w:rsidRDefault="00370CCB" w:rsidP="00370CCB">
      <w:pPr>
        <w:rPr>
          <w:rFonts w:ascii="Tahoma" w:hAnsi="Tahoma" w:cs="Tahoma"/>
          <w:sz w:val="20"/>
        </w:rPr>
      </w:pPr>
      <w:r>
        <w:rPr>
          <w:rFonts w:ascii="Tahoma" w:hAnsi="Tahoma" w:cs="Tahoma"/>
          <w:sz w:val="20"/>
        </w:rPr>
        <w:t xml:space="preserve">In order to successfully conduct the follow-up interviews with participants, it will be necessary for the Research </w:t>
      </w:r>
      <w:r w:rsidR="00504A05">
        <w:rPr>
          <w:rFonts w:ascii="Tahoma" w:hAnsi="Tahoma" w:cs="Tahoma"/>
          <w:sz w:val="20"/>
        </w:rPr>
        <w:t>Pharmacist</w:t>
      </w:r>
      <w:r>
        <w:rPr>
          <w:rFonts w:ascii="Tahoma" w:hAnsi="Tahoma" w:cs="Tahoma"/>
          <w:sz w:val="20"/>
        </w:rPr>
        <w:t xml:space="preserve"> to have access to participants’ names and telephone numbers. After the completion of the second interviews, each participant’s </w:t>
      </w:r>
      <w:r w:rsidR="00B25488">
        <w:rPr>
          <w:rFonts w:ascii="Tahoma" w:hAnsi="Tahoma" w:cs="Tahoma"/>
          <w:sz w:val="20"/>
        </w:rPr>
        <w:t xml:space="preserve">identifying </w:t>
      </w:r>
      <w:r>
        <w:rPr>
          <w:rFonts w:ascii="Tahoma" w:hAnsi="Tahoma" w:cs="Tahoma"/>
          <w:sz w:val="20"/>
        </w:rPr>
        <w:t xml:space="preserve">information will be </w:t>
      </w:r>
      <w:r w:rsidR="00F551E0">
        <w:rPr>
          <w:rFonts w:ascii="Tahoma" w:hAnsi="Tahoma" w:cs="Tahoma"/>
          <w:sz w:val="20"/>
        </w:rPr>
        <w:t>removed from all records</w:t>
      </w:r>
      <w:r>
        <w:rPr>
          <w:rFonts w:ascii="Tahoma" w:hAnsi="Tahoma" w:cs="Tahoma"/>
          <w:sz w:val="20"/>
        </w:rPr>
        <w:t xml:space="preserve"> and their </w:t>
      </w:r>
      <w:r w:rsidR="00B25488">
        <w:rPr>
          <w:rFonts w:ascii="Tahoma" w:hAnsi="Tahoma" w:cs="Tahoma"/>
          <w:sz w:val="20"/>
        </w:rPr>
        <w:t>file will be coded with an alphanume</w:t>
      </w:r>
      <w:r w:rsidR="00513B5B">
        <w:rPr>
          <w:rFonts w:ascii="Tahoma" w:hAnsi="Tahoma" w:cs="Tahoma"/>
          <w:sz w:val="20"/>
        </w:rPr>
        <w:t xml:space="preserve">ric identifier. The key to the </w:t>
      </w:r>
      <w:r w:rsidR="00B25488">
        <w:rPr>
          <w:rFonts w:ascii="Tahoma" w:hAnsi="Tahoma" w:cs="Tahoma"/>
          <w:sz w:val="20"/>
        </w:rPr>
        <w:t>code</w:t>
      </w:r>
      <w:r w:rsidR="00513B5B">
        <w:rPr>
          <w:rFonts w:ascii="Tahoma" w:hAnsi="Tahoma" w:cs="Tahoma"/>
          <w:sz w:val="20"/>
        </w:rPr>
        <w:t>s linking participants’ identifying information with their allocated code number</w:t>
      </w:r>
      <w:r w:rsidR="00B25488">
        <w:rPr>
          <w:rFonts w:ascii="Tahoma" w:hAnsi="Tahoma" w:cs="Tahoma"/>
          <w:sz w:val="20"/>
        </w:rPr>
        <w:t xml:space="preserve"> will be stored by the PI in a locked cabinet and no person other than the PI will have access to it. At the conclusion of all data collection activities the key will be destroyed and the data will thus be de-identified.</w:t>
      </w:r>
    </w:p>
    <w:p w:rsidR="00513B5B" w:rsidRPr="00370CCB" w:rsidRDefault="00513B5B" w:rsidP="00370CCB">
      <w:pPr>
        <w:rPr>
          <w:rFonts w:ascii="Tahoma" w:hAnsi="Tahoma" w:cs="Tahoma"/>
          <w:sz w:val="20"/>
        </w:rPr>
      </w:pPr>
      <w:r>
        <w:rPr>
          <w:rFonts w:ascii="Tahoma" w:hAnsi="Tahoma" w:cs="Tahoma"/>
          <w:sz w:val="20"/>
        </w:rPr>
        <w:t>Publications arising from this research will focus on cohort-level analyses of factors influencing DBIs: no individual’s results will be reported.</w:t>
      </w:r>
    </w:p>
    <w:p w:rsidR="00FE720D" w:rsidRDefault="00FE720D" w:rsidP="00024135">
      <w:pPr>
        <w:pStyle w:val="ListParagraph"/>
        <w:numPr>
          <w:ilvl w:val="1"/>
          <w:numId w:val="15"/>
        </w:numPr>
        <w:spacing w:after="120" w:line="240" w:lineRule="auto"/>
        <w:jc w:val="both"/>
        <w:rPr>
          <w:b/>
          <w:color w:val="000000"/>
        </w:rPr>
      </w:pPr>
      <w:r w:rsidRPr="004E2017">
        <w:rPr>
          <w:b/>
          <w:color w:val="000000"/>
        </w:rPr>
        <w:t>Study Record Retention</w:t>
      </w:r>
    </w:p>
    <w:p w:rsidR="00FE720D" w:rsidRPr="00E913DD" w:rsidRDefault="00A146BE" w:rsidP="00E913DD">
      <w:pPr>
        <w:rPr>
          <w:rFonts w:ascii="Tahoma" w:hAnsi="Tahoma" w:cs="Tahoma"/>
          <w:sz w:val="20"/>
        </w:rPr>
      </w:pPr>
      <w:r w:rsidRPr="00E913DD">
        <w:rPr>
          <w:rFonts w:ascii="Tahoma" w:hAnsi="Tahoma" w:cs="Tahoma"/>
          <w:sz w:val="20"/>
        </w:rPr>
        <w:t xml:space="preserve">All records relating to this project will be securely stored for 5 years after the completion of the project, at which time they will be securely destroyed. </w:t>
      </w:r>
    </w:p>
    <w:p w:rsidR="00FE720D" w:rsidRPr="004E2017" w:rsidRDefault="00FE720D" w:rsidP="00024135">
      <w:pPr>
        <w:pStyle w:val="Heading1"/>
        <w:keepLines/>
        <w:numPr>
          <w:ilvl w:val="0"/>
          <w:numId w:val="15"/>
        </w:numPr>
        <w:autoSpaceDE/>
        <w:autoSpaceDN/>
        <w:adjustRightInd/>
        <w:spacing w:after="120"/>
        <w:rPr>
          <w:caps/>
        </w:rPr>
      </w:pPr>
      <w:r w:rsidRPr="004E2017">
        <w:t>ADMINISTRATIVE ASPECTS</w:t>
      </w:r>
    </w:p>
    <w:p w:rsidR="00FE720D" w:rsidRDefault="00FE720D" w:rsidP="00024135">
      <w:pPr>
        <w:pStyle w:val="ListParagraph"/>
        <w:numPr>
          <w:ilvl w:val="1"/>
          <w:numId w:val="15"/>
        </w:numPr>
        <w:spacing w:after="120" w:line="240" w:lineRule="auto"/>
        <w:jc w:val="both"/>
        <w:rPr>
          <w:b/>
          <w:color w:val="000000"/>
        </w:rPr>
      </w:pPr>
      <w:r>
        <w:rPr>
          <w:b/>
          <w:color w:val="000000"/>
        </w:rPr>
        <w:t>Independent HREC approval</w:t>
      </w:r>
    </w:p>
    <w:p w:rsidR="00FE720D" w:rsidRPr="00E913DD" w:rsidRDefault="00FE720D" w:rsidP="00E913DD">
      <w:pPr>
        <w:rPr>
          <w:rFonts w:ascii="Tahoma" w:hAnsi="Tahoma" w:cs="Tahoma"/>
          <w:sz w:val="20"/>
        </w:rPr>
      </w:pPr>
      <w:r w:rsidRPr="00E913DD">
        <w:rPr>
          <w:rFonts w:ascii="Tahoma" w:hAnsi="Tahoma" w:cs="Tahoma"/>
          <w:sz w:val="20"/>
        </w:rPr>
        <w:t xml:space="preserve">This study has been approved by the Northern Sydney Local Health District HREC, reference </w:t>
      </w:r>
      <w:r w:rsidR="0049655F" w:rsidRPr="00E913DD">
        <w:rPr>
          <w:rFonts w:ascii="Tahoma" w:hAnsi="Tahoma" w:cs="Tahoma"/>
          <w:sz w:val="20"/>
        </w:rPr>
        <w:t>number:</w:t>
      </w:r>
      <w:r w:rsidRPr="00E913DD">
        <w:rPr>
          <w:rFonts w:ascii="Tahoma" w:hAnsi="Tahoma" w:cs="Tahoma"/>
          <w:sz w:val="20"/>
        </w:rPr>
        <w:t xml:space="preserve">    </w:t>
      </w:r>
    </w:p>
    <w:p w:rsidR="00FE720D" w:rsidRDefault="00FE720D" w:rsidP="00024135">
      <w:pPr>
        <w:pStyle w:val="ListParagraph"/>
        <w:numPr>
          <w:ilvl w:val="1"/>
          <w:numId w:val="15"/>
        </w:numPr>
        <w:spacing w:after="120" w:line="240" w:lineRule="auto"/>
        <w:jc w:val="both"/>
        <w:rPr>
          <w:b/>
          <w:color w:val="000000"/>
        </w:rPr>
      </w:pPr>
      <w:r>
        <w:rPr>
          <w:b/>
          <w:color w:val="000000"/>
        </w:rPr>
        <w:t>Amendments to the protocol</w:t>
      </w:r>
    </w:p>
    <w:p w:rsidR="00FE720D" w:rsidRPr="00E913DD" w:rsidRDefault="00FE720D" w:rsidP="00E913DD">
      <w:pPr>
        <w:rPr>
          <w:rFonts w:ascii="Tahoma" w:hAnsi="Tahoma" w:cs="Tahoma"/>
          <w:sz w:val="20"/>
        </w:rPr>
      </w:pPr>
      <w:r w:rsidRPr="00E913DD">
        <w:rPr>
          <w:rFonts w:ascii="Tahoma" w:hAnsi="Tahoma" w:cs="Tahoma"/>
          <w:sz w:val="20"/>
        </w:rPr>
        <w:t>Any amendments will be submitted to the HREC for review prior to implementation as per HREC guidelines.</w:t>
      </w:r>
    </w:p>
    <w:p w:rsidR="00DB47EE" w:rsidRDefault="00FE720D" w:rsidP="00024135">
      <w:pPr>
        <w:pStyle w:val="ListParagraph"/>
        <w:numPr>
          <w:ilvl w:val="1"/>
          <w:numId w:val="15"/>
        </w:numPr>
        <w:spacing w:after="120" w:line="240" w:lineRule="auto"/>
        <w:jc w:val="both"/>
        <w:rPr>
          <w:b/>
          <w:color w:val="000000"/>
        </w:rPr>
      </w:pPr>
      <w:r>
        <w:rPr>
          <w:b/>
          <w:color w:val="000000"/>
        </w:rPr>
        <w:t>Participant reimbursement</w:t>
      </w:r>
    </w:p>
    <w:p w:rsidR="00DB47EE" w:rsidRPr="00504A05" w:rsidRDefault="00A146BE" w:rsidP="00504A05">
      <w:pPr>
        <w:rPr>
          <w:rFonts w:ascii="Tahoma" w:hAnsi="Tahoma" w:cs="Tahoma"/>
          <w:sz w:val="20"/>
        </w:rPr>
      </w:pPr>
      <w:r w:rsidRPr="00E913DD">
        <w:rPr>
          <w:rFonts w:ascii="Tahoma" w:hAnsi="Tahoma" w:cs="Tahoma"/>
          <w:sz w:val="20"/>
        </w:rPr>
        <w:t>No reimbursements will be made to participants.</w:t>
      </w:r>
    </w:p>
    <w:p w:rsidR="00FE720D" w:rsidRDefault="00FE720D" w:rsidP="00024135">
      <w:pPr>
        <w:pStyle w:val="ListParagraph"/>
        <w:numPr>
          <w:ilvl w:val="1"/>
          <w:numId w:val="15"/>
        </w:numPr>
        <w:spacing w:after="120" w:line="240" w:lineRule="auto"/>
        <w:jc w:val="both"/>
        <w:rPr>
          <w:b/>
          <w:color w:val="000000"/>
        </w:rPr>
      </w:pPr>
      <w:r>
        <w:rPr>
          <w:b/>
          <w:color w:val="000000"/>
        </w:rPr>
        <w:t>Financial disclosure and conflicts of interest</w:t>
      </w:r>
    </w:p>
    <w:p w:rsidR="00DB47EE" w:rsidRPr="00E913DD" w:rsidRDefault="00A146BE" w:rsidP="00E913DD">
      <w:pPr>
        <w:rPr>
          <w:rFonts w:ascii="Tahoma" w:hAnsi="Tahoma" w:cs="Tahoma"/>
          <w:sz w:val="20"/>
        </w:rPr>
      </w:pPr>
      <w:r w:rsidRPr="00E913DD">
        <w:rPr>
          <w:rFonts w:ascii="Tahoma" w:hAnsi="Tahoma" w:cs="Tahoma"/>
          <w:sz w:val="20"/>
        </w:rPr>
        <w:t>This study is funded by a Grant from the HCF Research Foundation. There are no conflicts of interest.</w:t>
      </w:r>
    </w:p>
    <w:p w:rsidR="00FE720D" w:rsidRPr="004E2017" w:rsidRDefault="00FE720D" w:rsidP="00024135">
      <w:pPr>
        <w:pStyle w:val="Heading1"/>
        <w:keepLines/>
        <w:numPr>
          <w:ilvl w:val="0"/>
          <w:numId w:val="15"/>
        </w:numPr>
        <w:autoSpaceDE/>
        <w:autoSpaceDN/>
        <w:adjustRightInd/>
        <w:spacing w:after="120"/>
        <w:rPr>
          <w:caps/>
        </w:rPr>
      </w:pPr>
      <w:r w:rsidRPr="004E2017">
        <w:lastRenderedPageBreak/>
        <w:t>USE OF DATA AND PUBLICATIONS POLICY</w:t>
      </w:r>
    </w:p>
    <w:p w:rsidR="00A8076B" w:rsidRDefault="00981D08" w:rsidP="00A8076B">
      <w:pPr>
        <w:rPr>
          <w:rFonts w:ascii="Tahoma" w:hAnsi="Tahoma" w:cs="Tahoma"/>
          <w:sz w:val="20"/>
        </w:rPr>
      </w:pPr>
      <w:r w:rsidRPr="00A8076B">
        <w:rPr>
          <w:rFonts w:ascii="Tahoma" w:hAnsi="Tahoma" w:cs="Tahoma"/>
          <w:sz w:val="20"/>
        </w:rPr>
        <w:t>It is envisaged that this project will yield two peer reviewed publications. One will report the extent of inappropriate polypha</w:t>
      </w:r>
      <w:r w:rsidR="00A8076B">
        <w:rPr>
          <w:rFonts w:ascii="Tahoma" w:hAnsi="Tahoma" w:cs="Tahoma"/>
          <w:sz w:val="20"/>
        </w:rPr>
        <w:t>rmacy among this</w:t>
      </w:r>
      <w:r w:rsidRPr="00A8076B">
        <w:rPr>
          <w:rFonts w:ascii="Tahoma" w:hAnsi="Tahoma" w:cs="Tahoma"/>
          <w:sz w:val="20"/>
        </w:rPr>
        <w:t xml:space="preserve"> sample of older patients. The second publication will report data </w:t>
      </w:r>
      <w:r w:rsidR="00A8076B" w:rsidRPr="00A8076B">
        <w:rPr>
          <w:rFonts w:ascii="Tahoma" w:hAnsi="Tahoma" w:cs="Tahoma"/>
          <w:sz w:val="20"/>
        </w:rPr>
        <w:t xml:space="preserve">regarding the </w:t>
      </w:r>
      <w:r>
        <w:rPr>
          <w:rFonts w:ascii="Tahoma" w:hAnsi="Tahoma" w:cs="Tahoma"/>
          <w:sz w:val="20"/>
        </w:rPr>
        <w:t>sustainability of any GP-initiate</w:t>
      </w:r>
      <w:r w:rsidR="00A8076B">
        <w:rPr>
          <w:rFonts w:ascii="Tahoma" w:hAnsi="Tahoma" w:cs="Tahoma"/>
          <w:sz w:val="20"/>
        </w:rPr>
        <w:t>d moves to reduce patients’ DBIs. Both publications will bear all Investigators’ names and include appropriate acknowledgment of</w:t>
      </w:r>
      <w:r w:rsidR="00504A05">
        <w:rPr>
          <w:rFonts w:ascii="Tahoma" w:hAnsi="Tahoma" w:cs="Tahoma"/>
          <w:sz w:val="20"/>
        </w:rPr>
        <w:t xml:space="preserve"> The Research Pharmacist’s contributions.</w:t>
      </w:r>
    </w:p>
    <w:p w:rsidR="00A8076B" w:rsidRPr="00A8076B" w:rsidRDefault="00A8076B" w:rsidP="00A8076B">
      <w:pPr>
        <w:rPr>
          <w:rFonts w:ascii="Tahoma" w:hAnsi="Tahoma" w:cs="Tahoma"/>
          <w:sz w:val="20"/>
        </w:rPr>
      </w:pPr>
      <w:r>
        <w:rPr>
          <w:rFonts w:ascii="Tahoma" w:hAnsi="Tahoma" w:cs="Tahoma"/>
          <w:sz w:val="20"/>
        </w:rPr>
        <w:t>Due to the potential of this approach, if proven, to prevent polypharmacy-related ED presentations, it is anticipated that data generated during this trial will be disseminated more widely including to Policy makers (ACI) and to other potential stakeholders. A separate report will be made to the funding provider (HCF</w:t>
      </w:r>
    </w:p>
    <w:p w:rsidR="00ED2A85" w:rsidRPr="00FE720D" w:rsidRDefault="00ED2A85" w:rsidP="005A6F21">
      <w:pPr>
        <w:spacing w:after="120" w:line="240" w:lineRule="auto"/>
        <w:rPr>
          <w:color w:val="FF0000"/>
        </w:rPr>
      </w:pPr>
    </w:p>
    <w:p w:rsidR="008A2155" w:rsidRDefault="008A2155">
      <w:pPr>
        <w:rPr>
          <w:rFonts w:cstheme="minorHAnsi"/>
          <w:b/>
          <w:iCs/>
          <w:color w:val="000000"/>
        </w:rPr>
      </w:pPr>
      <w:r>
        <w:br w:type="page"/>
      </w:r>
    </w:p>
    <w:p w:rsidR="00FE720D" w:rsidRPr="004E2017" w:rsidRDefault="00FE720D" w:rsidP="00024135">
      <w:pPr>
        <w:pStyle w:val="Heading1"/>
        <w:keepLines/>
        <w:numPr>
          <w:ilvl w:val="0"/>
          <w:numId w:val="15"/>
        </w:numPr>
        <w:autoSpaceDE/>
        <w:autoSpaceDN/>
        <w:adjustRightInd/>
        <w:spacing w:after="120"/>
        <w:rPr>
          <w:caps/>
        </w:rPr>
      </w:pPr>
      <w:r w:rsidRPr="004E2017">
        <w:lastRenderedPageBreak/>
        <w:t>REFERENCES</w:t>
      </w:r>
    </w:p>
    <w:p w:rsidR="00775708" w:rsidRDefault="00775708" w:rsidP="00ED2A85">
      <w:pPr>
        <w:spacing w:after="0"/>
        <w:rPr>
          <w:rFonts w:ascii="Tahoma" w:hAnsi="Tahoma" w:cs="Tahoma"/>
        </w:rPr>
      </w:pPr>
    </w:p>
    <w:p w:rsidR="00ED2A85" w:rsidRPr="00ED2A85" w:rsidRDefault="00ED2A85" w:rsidP="00ED2A85">
      <w:pPr>
        <w:spacing w:after="0"/>
        <w:rPr>
          <w:rFonts w:ascii="Tahoma" w:hAnsi="Tahoma" w:cs="Tahoma"/>
        </w:rPr>
      </w:pPr>
      <w:r w:rsidRPr="00ED2A85">
        <w:rPr>
          <w:rFonts w:ascii="Tahoma" w:hAnsi="Tahoma" w:cs="Tahoma"/>
        </w:rPr>
        <w:t xml:space="preserve">Bennett A, Gnjidic D, Gillett M, Carroll P, Matthews S, Johnell K, Fastbom J, Hilmer SN. 2014. Prevalence and impact of fall-risk-increasing drugs, Polypharmacy, and Drug-Drug Interactions in Robust vs. Frail Hospitalised Patients: A Prospective Cohort Study. </w:t>
      </w:r>
      <w:r w:rsidRPr="00ED2A85">
        <w:rPr>
          <w:rFonts w:ascii="Tahoma" w:hAnsi="Tahoma" w:cs="Tahoma"/>
          <w:i/>
        </w:rPr>
        <w:t xml:space="preserve">Drugs </w:t>
      </w:r>
      <w:r w:rsidR="00651BAE">
        <w:rPr>
          <w:rFonts w:ascii="Tahoma" w:hAnsi="Tahoma" w:cs="Tahoma"/>
          <w:i/>
        </w:rPr>
        <w:t xml:space="preserve">and </w:t>
      </w:r>
      <w:r w:rsidRPr="00ED2A85">
        <w:rPr>
          <w:rFonts w:ascii="Tahoma" w:hAnsi="Tahoma" w:cs="Tahoma"/>
          <w:i/>
        </w:rPr>
        <w:t>Aging</w:t>
      </w:r>
      <w:r w:rsidRPr="00ED2A85">
        <w:rPr>
          <w:rFonts w:ascii="Tahoma" w:hAnsi="Tahoma" w:cs="Tahoma"/>
        </w:rPr>
        <w:t xml:space="preserve"> 31(3):225-232</w:t>
      </w:r>
    </w:p>
    <w:p w:rsidR="00ED2A85" w:rsidRDefault="00ED2A85" w:rsidP="00ED2A85">
      <w:pPr>
        <w:spacing w:after="0"/>
        <w:rPr>
          <w:rFonts w:ascii="Tahoma" w:hAnsi="Tahoma" w:cs="Tahoma"/>
          <w:i/>
        </w:rPr>
      </w:pPr>
      <w:r w:rsidRPr="00ED2A85">
        <w:rPr>
          <w:rFonts w:ascii="Tahoma" w:hAnsi="Tahoma" w:cs="Tahoma"/>
          <w:i/>
        </w:rPr>
        <w:t>Hospital based study (RNSH) found that fall risk increasing drugs was not reduced in routine care and increasing exposure was associated with a higher risk of recurrent falls and readmissions.</w:t>
      </w:r>
    </w:p>
    <w:p w:rsidR="00BB4BAB" w:rsidRPr="00ED2A85" w:rsidRDefault="00BB4BAB" w:rsidP="00ED2A85">
      <w:pPr>
        <w:spacing w:after="0"/>
        <w:rPr>
          <w:rFonts w:ascii="Tahoma" w:hAnsi="Tahoma" w:cs="Tahoma"/>
          <w:i/>
        </w:rPr>
      </w:pPr>
    </w:p>
    <w:p w:rsidR="00ED2A85" w:rsidRPr="00ED2A85" w:rsidRDefault="00ED2A85" w:rsidP="00ED2A85">
      <w:pPr>
        <w:spacing w:after="0"/>
        <w:rPr>
          <w:rFonts w:ascii="Tahoma" w:hAnsi="Tahoma" w:cs="Tahoma"/>
        </w:rPr>
      </w:pPr>
      <w:r w:rsidRPr="00ED2A85">
        <w:rPr>
          <w:rFonts w:ascii="Tahoma" w:hAnsi="Tahoma" w:cs="Tahoma"/>
        </w:rPr>
        <w:t xml:space="preserve">Best O, Gnjidic D, Hilmer S, Naganathan V, McLachlan AJ. 2013. Investigating polypharmacy and drug burden index in hospitalised older people. </w:t>
      </w:r>
      <w:r w:rsidRPr="00ED2A85">
        <w:rPr>
          <w:rFonts w:ascii="Tahoma" w:hAnsi="Tahoma" w:cs="Tahoma"/>
          <w:i/>
        </w:rPr>
        <w:t>Internal Medicine Journal</w:t>
      </w:r>
      <w:r w:rsidRPr="00ED2A85">
        <w:rPr>
          <w:rFonts w:ascii="Tahoma" w:hAnsi="Tahoma" w:cs="Tahoma"/>
        </w:rPr>
        <w:t xml:space="preserve"> 43(8):912-918</w:t>
      </w:r>
    </w:p>
    <w:p w:rsidR="00ED2A85" w:rsidRPr="00ED2A85" w:rsidRDefault="00ED2A85" w:rsidP="00ED2A85">
      <w:pPr>
        <w:spacing w:after="0"/>
        <w:rPr>
          <w:rFonts w:ascii="Tahoma" w:hAnsi="Tahoma" w:cs="Tahoma"/>
          <w:i/>
        </w:rPr>
      </w:pPr>
      <w:r w:rsidRPr="00ED2A85">
        <w:rPr>
          <w:rFonts w:ascii="Tahoma" w:hAnsi="Tahoma" w:cs="Tahoma"/>
          <w:i/>
        </w:rPr>
        <w:t>Found that DBI is not reduced in routine in-patient care.</w:t>
      </w:r>
    </w:p>
    <w:p w:rsidR="00651BAE" w:rsidRDefault="00651BAE" w:rsidP="00651BAE">
      <w:pPr>
        <w:rPr>
          <w:rFonts w:ascii="Tahoma" w:hAnsi="Tahoma" w:cs="Tahoma"/>
        </w:rPr>
      </w:pPr>
    </w:p>
    <w:p w:rsidR="00651BAE" w:rsidRPr="00651BAE" w:rsidRDefault="00651BAE" w:rsidP="00651BAE">
      <w:pPr>
        <w:rPr>
          <w:rFonts w:ascii="Tahoma" w:hAnsi="Tahoma" w:cs="Tahoma"/>
        </w:rPr>
      </w:pPr>
      <w:r w:rsidRPr="00651BAE">
        <w:rPr>
          <w:rFonts w:ascii="Tahoma" w:hAnsi="Tahoma" w:cs="Tahoma"/>
        </w:rPr>
        <w:t>Gnjidic D, Cumming RG, Le Couteur DG, Handelsman DJ, Naganathan V, Abernethy DR </w:t>
      </w:r>
      <w:r w:rsidRPr="00651BAE">
        <w:rPr>
          <w:rFonts w:ascii="Tahoma" w:hAnsi="Tahoma" w:cs="Tahoma"/>
          <w:i/>
          <w:iCs/>
        </w:rPr>
        <w:t>et al</w:t>
      </w:r>
      <w:r w:rsidRPr="00651BAE">
        <w:rPr>
          <w:rFonts w:ascii="Tahoma" w:hAnsi="Tahoma" w:cs="Tahoma"/>
        </w:rPr>
        <w:t>.</w:t>
      </w:r>
      <w:r>
        <w:rPr>
          <w:rFonts w:ascii="Tahoma" w:hAnsi="Tahoma" w:cs="Tahoma"/>
        </w:rPr>
        <w:t xml:space="preserve"> 2009.</w:t>
      </w:r>
      <w:r w:rsidRPr="00651BAE">
        <w:rPr>
          <w:rFonts w:ascii="Tahoma" w:hAnsi="Tahoma" w:cs="Tahoma"/>
        </w:rPr>
        <w:t> Drug burden index and physical function in older Australian men. </w:t>
      </w:r>
      <w:r w:rsidRPr="00651BAE">
        <w:rPr>
          <w:rFonts w:ascii="Tahoma" w:hAnsi="Tahoma" w:cs="Tahoma"/>
          <w:i/>
        </w:rPr>
        <w:t>British Journal of Clinical Pharmacology</w:t>
      </w:r>
      <w:r w:rsidRPr="00651BAE">
        <w:rPr>
          <w:rFonts w:ascii="Tahoma" w:hAnsi="Tahoma" w:cs="Tahoma"/>
        </w:rPr>
        <w:t> 68: 97–105</w:t>
      </w:r>
    </w:p>
    <w:p w:rsidR="00ED2A85" w:rsidRDefault="00ED2A85" w:rsidP="00ED2A85">
      <w:pPr>
        <w:spacing w:after="0"/>
        <w:rPr>
          <w:rFonts w:ascii="Tahoma" w:hAnsi="Tahoma" w:cs="Tahoma"/>
        </w:rPr>
      </w:pPr>
    </w:p>
    <w:p w:rsidR="00ED2A85" w:rsidRPr="00ED2A85" w:rsidRDefault="00ED2A85" w:rsidP="00ED2A85">
      <w:pPr>
        <w:spacing w:after="0"/>
        <w:rPr>
          <w:rFonts w:ascii="Tahoma" w:hAnsi="Tahoma" w:cs="Tahoma"/>
        </w:rPr>
      </w:pPr>
      <w:r w:rsidRPr="00ED2A85">
        <w:rPr>
          <w:rFonts w:ascii="Tahoma" w:hAnsi="Tahoma" w:cs="Tahoma"/>
        </w:rPr>
        <w:t xml:space="preserve">Gnjidic D, Hilmer SN, Hartikainen S, Tolppanene AM, Taipale H, Koponen M, Bell JS. 2014. Impact of high risk drug use on hospitalisation and mortality in older people with and without Alzheimer’s disease: a national population cohort study. </w:t>
      </w:r>
      <w:r w:rsidRPr="00ED2A85">
        <w:rPr>
          <w:rFonts w:ascii="Tahoma" w:hAnsi="Tahoma" w:cs="Tahoma"/>
          <w:i/>
        </w:rPr>
        <w:t>PLoS One</w:t>
      </w:r>
      <w:r w:rsidRPr="00ED2A85">
        <w:rPr>
          <w:rFonts w:ascii="Tahoma" w:hAnsi="Tahoma" w:cs="Tahoma"/>
        </w:rPr>
        <w:t xml:space="preserve"> 139(1):e83224. Doi:10.1371/journal.pone.0083224</w:t>
      </w:r>
    </w:p>
    <w:p w:rsidR="00ED2A85" w:rsidRDefault="00ED2A85" w:rsidP="00ED2A85">
      <w:pPr>
        <w:spacing w:after="0"/>
        <w:rPr>
          <w:rFonts w:ascii="Tahoma" w:hAnsi="Tahoma" w:cs="Tahoma"/>
          <w:i/>
        </w:rPr>
      </w:pPr>
      <w:r w:rsidRPr="00ED2A85">
        <w:rPr>
          <w:rFonts w:ascii="Tahoma" w:hAnsi="Tahoma" w:cs="Tahoma"/>
          <w:i/>
        </w:rPr>
        <w:t>Population-level study (Finland) found increasing DBI exposure was associated with increased hospitalisation and mortality inpatients with and without Alzheimer’s disease.</w:t>
      </w:r>
    </w:p>
    <w:p w:rsidR="00651BAE" w:rsidRDefault="00651BAE" w:rsidP="00BA267C">
      <w:pPr>
        <w:rPr>
          <w:rFonts w:ascii="Tahoma" w:hAnsi="Tahoma" w:cs="Tahoma"/>
        </w:rPr>
      </w:pPr>
    </w:p>
    <w:p w:rsidR="00ED2A85" w:rsidRDefault="00BA267C" w:rsidP="00651BAE">
      <w:pPr>
        <w:rPr>
          <w:rFonts w:ascii="Tahoma" w:hAnsi="Tahoma" w:cs="Tahoma"/>
        </w:rPr>
      </w:pPr>
      <w:r w:rsidRPr="00BA267C">
        <w:rPr>
          <w:rFonts w:ascii="Tahoma" w:hAnsi="Tahoma" w:cs="Tahoma"/>
        </w:rPr>
        <w:t>Han L, Agostini JV, Allore HG. </w:t>
      </w:r>
      <w:r w:rsidR="00651BAE">
        <w:rPr>
          <w:rFonts w:ascii="Tahoma" w:hAnsi="Tahoma" w:cs="Tahoma"/>
        </w:rPr>
        <w:t xml:space="preserve">2008. </w:t>
      </w:r>
      <w:r w:rsidRPr="00BA267C">
        <w:rPr>
          <w:rFonts w:ascii="Tahoma" w:hAnsi="Tahoma" w:cs="Tahoma"/>
        </w:rPr>
        <w:t>Cumulative anticholinergic exposure is associated with poor memory and executive function in older men. </w:t>
      </w:r>
      <w:r w:rsidRPr="00651BAE">
        <w:rPr>
          <w:rFonts w:ascii="Tahoma" w:hAnsi="Tahoma" w:cs="Tahoma"/>
          <w:i/>
        </w:rPr>
        <w:t>Journal of the American Geriatric Society</w:t>
      </w:r>
      <w:r w:rsidRPr="00BA267C">
        <w:rPr>
          <w:rFonts w:ascii="Tahoma" w:hAnsi="Tahoma" w:cs="Tahoma"/>
        </w:rPr>
        <w:t> 56:2203–2210</w:t>
      </w:r>
    </w:p>
    <w:p w:rsidR="00ED2A85" w:rsidRPr="00ED2A85" w:rsidRDefault="00ED2A85" w:rsidP="00ED2A85">
      <w:pPr>
        <w:spacing w:after="0"/>
        <w:rPr>
          <w:rFonts w:ascii="Tahoma" w:hAnsi="Tahoma" w:cs="Tahoma"/>
        </w:rPr>
      </w:pPr>
      <w:r w:rsidRPr="00ED2A85">
        <w:rPr>
          <w:rFonts w:ascii="Tahoma" w:hAnsi="Tahoma" w:cs="Tahoma"/>
        </w:rPr>
        <w:t xml:space="preserve">Hilmer SN, Mager DE, Simonsick EM, Cao Y, Ling SM, Windham BG, Harris TB, Hanlon JT, Rubin SM, Shorr RI, Bauer DC, Abernethy DR. 2007. A Drug Burden Index to define the functional burden of medications in older people. </w:t>
      </w:r>
      <w:r w:rsidRPr="00ED2A85">
        <w:rPr>
          <w:rFonts w:ascii="Tahoma" w:hAnsi="Tahoma" w:cs="Tahoma"/>
          <w:i/>
        </w:rPr>
        <w:t>Archives of Internal Medicine</w:t>
      </w:r>
      <w:r w:rsidRPr="00ED2A85">
        <w:rPr>
          <w:rFonts w:ascii="Tahoma" w:hAnsi="Tahoma" w:cs="Tahoma"/>
        </w:rPr>
        <w:t xml:space="preserve"> 167(8):781-787</w:t>
      </w:r>
    </w:p>
    <w:p w:rsidR="00ED2A85" w:rsidRPr="00ED2A85" w:rsidRDefault="00ED2A85" w:rsidP="00ED2A85">
      <w:pPr>
        <w:spacing w:after="0"/>
        <w:rPr>
          <w:rFonts w:ascii="Tahoma" w:hAnsi="Tahoma" w:cs="Tahoma"/>
          <w:i/>
        </w:rPr>
      </w:pPr>
      <w:r w:rsidRPr="00ED2A85">
        <w:rPr>
          <w:rFonts w:ascii="Tahoma" w:hAnsi="Tahoma" w:cs="Tahoma"/>
          <w:i/>
        </w:rPr>
        <w:t>The original paper describing the Drug Burden Index.</w:t>
      </w:r>
    </w:p>
    <w:p w:rsidR="00ED2A85" w:rsidRDefault="00ED2A85" w:rsidP="00ED2A85">
      <w:pPr>
        <w:spacing w:after="0"/>
        <w:rPr>
          <w:rFonts w:ascii="Tahoma" w:hAnsi="Tahoma" w:cs="Tahoma"/>
        </w:rPr>
      </w:pPr>
    </w:p>
    <w:p w:rsidR="00ED2A85" w:rsidRPr="00ED2A85" w:rsidRDefault="00ED2A85" w:rsidP="00ED2A85">
      <w:pPr>
        <w:spacing w:after="0"/>
        <w:rPr>
          <w:rFonts w:ascii="Tahoma" w:hAnsi="Tahoma" w:cs="Tahoma"/>
        </w:rPr>
      </w:pPr>
      <w:r w:rsidRPr="00ED2A85">
        <w:rPr>
          <w:rFonts w:ascii="Tahoma" w:hAnsi="Tahoma" w:cs="Tahoma"/>
        </w:rPr>
        <w:t xml:space="preserve">Hilmer SN, Mager DE, Simonsick EM, Ling SM, Windham BG, Harris TB, Shorr RI, Bauer DC, Abernethy DR. 2009. Drug Burden Index Score and Functional Decline in Older People. </w:t>
      </w:r>
      <w:r w:rsidRPr="00ED2A85">
        <w:rPr>
          <w:rFonts w:ascii="Tahoma" w:hAnsi="Tahoma" w:cs="Tahoma"/>
          <w:i/>
        </w:rPr>
        <w:t>American Journal of Medicine</w:t>
      </w:r>
      <w:r w:rsidRPr="00ED2A85">
        <w:rPr>
          <w:rFonts w:ascii="Tahoma" w:hAnsi="Tahoma" w:cs="Tahoma"/>
        </w:rPr>
        <w:t xml:space="preserve"> 122(12):1142-1149,e1-2</w:t>
      </w:r>
    </w:p>
    <w:p w:rsidR="00ED2A85" w:rsidRPr="00ED2A85" w:rsidRDefault="00ED2A85" w:rsidP="00ED2A85">
      <w:pPr>
        <w:spacing w:after="0"/>
        <w:rPr>
          <w:rFonts w:ascii="Tahoma" w:hAnsi="Tahoma" w:cs="Tahoma"/>
        </w:rPr>
      </w:pPr>
      <w:r w:rsidRPr="00ED2A85">
        <w:rPr>
          <w:rFonts w:ascii="Tahoma" w:hAnsi="Tahoma" w:cs="Tahoma"/>
          <w:i/>
        </w:rPr>
        <w:t>Increasing exposure to medication with anticholinergic and sedative effects, measured with DBI, is associated with lower objective physical function over 5 years in community-dwelling older people</w:t>
      </w:r>
      <w:r w:rsidRPr="00ED2A85">
        <w:rPr>
          <w:rFonts w:ascii="Tahoma" w:hAnsi="Tahoma" w:cs="Tahoma"/>
        </w:rPr>
        <w:t>.</w:t>
      </w:r>
    </w:p>
    <w:p w:rsidR="00ED2A85" w:rsidRPr="00ED2A85" w:rsidRDefault="00ED2A85" w:rsidP="00ED2A85">
      <w:pPr>
        <w:spacing w:after="0"/>
        <w:rPr>
          <w:rFonts w:ascii="Tahoma" w:hAnsi="Tahoma" w:cs="Tahoma"/>
        </w:rPr>
      </w:pPr>
    </w:p>
    <w:p w:rsidR="007C5655" w:rsidRPr="007C5655" w:rsidRDefault="007C5655" w:rsidP="007C5655">
      <w:pPr>
        <w:pStyle w:val="Heading1"/>
        <w:shd w:val="clear" w:color="auto" w:fill="FFFFFF"/>
        <w:spacing w:before="240" w:after="120" w:line="324" w:lineRule="atLeast"/>
        <w:rPr>
          <w:rFonts w:ascii="Tahoma" w:hAnsi="Tahoma" w:cs="Tahoma"/>
          <w:b w:val="0"/>
          <w:iCs w:val="0"/>
          <w:color w:val="auto"/>
        </w:rPr>
      </w:pPr>
      <w:r w:rsidRPr="007C5655">
        <w:rPr>
          <w:rFonts w:ascii="Tahoma" w:hAnsi="Tahoma" w:cs="Tahoma"/>
          <w:b w:val="0"/>
          <w:iCs w:val="0"/>
          <w:color w:val="auto"/>
        </w:rPr>
        <w:lastRenderedPageBreak/>
        <w:t xml:space="preserve">Kouladjian L, Gnjidic D, Chen TF, Mangoni AA &amp; Hilmer SN. 2014. Drug Burden Index in older adults: theoretical and practical issues. </w:t>
      </w:r>
      <w:r w:rsidRPr="007C5655">
        <w:rPr>
          <w:rFonts w:ascii="Tahoma" w:hAnsi="Tahoma" w:cs="Tahoma"/>
          <w:b w:val="0"/>
          <w:i/>
          <w:iCs w:val="0"/>
          <w:color w:val="auto"/>
        </w:rPr>
        <w:t>Clinical Interventions in Aging</w:t>
      </w:r>
      <w:r w:rsidRPr="007C5655">
        <w:rPr>
          <w:rFonts w:ascii="Tahoma" w:hAnsi="Tahoma" w:cs="Tahoma"/>
          <w:b w:val="0"/>
          <w:iCs w:val="0"/>
          <w:color w:val="auto"/>
        </w:rPr>
        <w:t xml:space="preserve"> 9:1503–1515</w:t>
      </w:r>
    </w:p>
    <w:p w:rsidR="007C5655" w:rsidRDefault="007C5655" w:rsidP="00ED2A85">
      <w:pPr>
        <w:spacing w:after="0"/>
        <w:rPr>
          <w:rFonts w:ascii="Tahoma" w:hAnsi="Tahoma" w:cs="Tahoma"/>
        </w:rPr>
      </w:pPr>
    </w:p>
    <w:p w:rsidR="00ED2A85" w:rsidRPr="00ED2A85" w:rsidRDefault="00ED2A85" w:rsidP="00ED2A85">
      <w:pPr>
        <w:spacing w:after="0"/>
        <w:rPr>
          <w:rFonts w:ascii="Tahoma" w:hAnsi="Tahoma" w:cs="Tahoma"/>
        </w:rPr>
      </w:pPr>
      <w:r w:rsidRPr="00ED2A85">
        <w:rPr>
          <w:rFonts w:ascii="Tahoma" w:hAnsi="Tahoma" w:cs="Tahoma"/>
        </w:rPr>
        <w:t xml:space="preserve">Lowry E, Woodman RJ, Soiza RL, Hilmer SN, Mangoni AA. 2012. Drug Burden Index, physical function and adverse outcomes in older hospitalised patients. </w:t>
      </w:r>
      <w:r w:rsidRPr="00ED2A85">
        <w:rPr>
          <w:rFonts w:ascii="Tahoma" w:hAnsi="Tahoma" w:cs="Tahoma"/>
          <w:i/>
        </w:rPr>
        <w:t>Journal of Clinical Pharmacology</w:t>
      </w:r>
      <w:r w:rsidRPr="00ED2A85">
        <w:rPr>
          <w:rFonts w:ascii="Tahoma" w:hAnsi="Tahoma" w:cs="Tahoma"/>
        </w:rPr>
        <w:t xml:space="preserve"> 52(10):1584-1591</w:t>
      </w:r>
    </w:p>
    <w:p w:rsidR="00ED2A85" w:rsidRPr="00ED2A85" w:rsidRDefault="00ED2A85" w:rsidP="00ED2A85">
      <w:pPr>
        <w:spacing w:after="0"/>
        <w:rPr>
          <w:rFonts w:ascii="Tahoma" w:hAnsi="Tahoma" w:cs="Tahoma"/>
          <w:i/>
        </w:rPr>
      </w:pPr>
      <w:r w:rsidRPr="00ED2A85">
        <w:rPr>
          <w:rFonts w:ascii="Tahoma" w:hAnsi="Tahoma" w:cs="Tahoma"/>
          <w:i/>
        </w:rPr>
        <w:t>Demonstrated and independent association of increasing DBI with functional impairment and prolonged length of stay in older inpatients.</w:t>
      </w:r>
    </w:p>
    <w:p w:rsidR="00ED2A85" w:rsidRPr="00ED2A85" w:rsidRDefault="00ED2A85" w:rsidP="00ED2A85">
      <w:pPr>
        <w:spacing w:after="0"/>
        <w:rPr>
          <w:rFonts w:ascii="Tahoma" w:hAnsi="Tahoma" w:cs="Tahoma"/>
        </w:rPr>
      </w:pPr>
    </w:p>
    <w:p w:rsidR="00ED2A85" w:rsidRPr="00ED2A85" w:rsidRDefault="00ED2A85" w:rsidP="00ED2A85">
      <w:pPr>
        <w:spacing w:after="0"/>
        <w:rPr>
          <w:rFonts w:ascii="Tahoma" w:hAnsi="Tahoma" w:cs="Tahoma"/>
        </w:rPr>
      </w:pPr>
      <w:r w:rsidRPr="00ED2A85">
        <w:rPr>
          <w:rFonts w:ascii="Tahoma" w:hAnsi="Tahoma" w:cs="Tahoma"/>
        </w:rPr>
        <w:t xml:space="preserve">National Health and Medical Research Council. 2015 National Statement on Ethical Conduct in Human Research 2007 (updated May 2015). The National Health and Medical Research Council, the Australian Research Council and the Australian Vice-Chancellors’ Committee. Commonwealth of Australia, Canberra </w:t>
      </w:r>
      <w:hyperlink r:id="rId15" w:history="1">
        <w:r w:rsidRPr="00ED2A85">
          <w:rPr>
            <w:rFonts w:ascii="Tahoma" w:hAnsi="Tahoma" w:cs="Tahoma"/>
          </w:rPr>
          <w:t>www.nhmrc.gov.au/_files_nhmrc/publications/attachments/e72_national_statement_may_2015_150514_a.pdf</w:t>
        </w:r>
      </w:hyperlink>
      <w:r w:rsidRPr="00ED2A85">
        <w:rPr>
          <w:rFonts w:ascii="Tahoma" w:hAnsi="Tahoma" w:cs="Tahoma"/>
        </w:rPr>
        <w:t xml:space="preserve">  accessed 11.08.2016</w:t>
      </w:r>
    </w:p>
    <w:p w:rsidR="00ED2A85" w:rsidRDefault="00ED2A85" w:rsidP="00ED2A85">
      <w:pPr>
        <w:spacing w:after="0"/>
        <w:rPr>
          <w:rFonts w:ascii="Tahoma" w:hAnsi="Tahoma" w:cs="Tahoma"/>
        </w:rPr>
      </w:pPr>
    </w:p>
    <w:p w:rsidR="00ED2A85" w:rsidRPr="00ED2A85" w:rsidRDefault="00ED2A85" w:rsidP="00ED2A85">
      <w:pPr>
        <w:spacing w:after="0"/>
        <w:rPr>
          <w:rFonts w:ascii="Tahoma" w:hAnsi="Tahoma" w:cs="Tahoma"/>
        </w:rPr>
      </w:pPr>
      <w:r w:rsidRPr="00ED2A85">
        <w:rPr>
          <w:rFonts w:ascii="Tahoma" w:hAnsi="Tahoma" w:cs="Tahoma"/>
        </w:rPr>
        <w:t xml:space="preserve">Nishtala PS, Narayan SW, Wang T, Himer SN. 2014. Association of Drug Burden Index with falls, General Practitioner visits and mortality in older people. </w:t>
      </w:r>
      <w:r w:rsidRPr="00ED2A85">
        <w:rPr>
          <w:rFonts w:ascii="Tahoma" w:hAnsi="Tahoma" w:cs="Tahoma"/>
          <w:i/>
        </w:rPr>
        <w:t>Pharmacoepidemiology and drug safety</w:t>
      </w:r>
      <w:r w:rsidRPr="00ED2A85">
        <w:rPr>
          <w:rFonts w:ascii="Tahoma" w:hAnsi="Tahoma" w:cs="Tahoma"/>
        </w:rPr>
        <w:t xml:space="preserve"> 23(7):753-758</w:t>
      </w:r>
    </w:p>
    <w:p w:rsidR="00ED2A85" w:rsidRPr="00ED2A85" w:rsidRDefault="00ED2A85" w:rsidP="00ED2A85">
      <w:pPr>
        <w:spacing w:after="0"/>
        <w:rPr>
          <w:rFonts w:ascii="Tahoma" w:hAnsi="Tahoma" w:cs="Tahoma"/>
          <w:i/>
        </w:rPr>
      </w:pPr>
      <w:r w:rsidRPr="00ED2A85">
        <w:rPr>
          <w:rFonts w:ascii="Tahoma" w:hAnsi="Tahoma" w:cs="Tahoma"/>
          <w:i/>
        </w:rPr>
        <w:t>Population level study (New Zealand) found increasing DBI was associated with more falls, GP visits and mortality.</w:t>
      </w:r>
    </w:p>
    <w:p w:rsidR="00ED2A85" w:rsidRPr="00ED2A85" w:rsidRDefault="00ED2A85" w:rsidP="00ED2A85">
      <w:pPr>
        <w:spacing w:after="0"/>
        <w:ind w:left="360"/>
        <w:rPr>
          <w:rFonts w:ascii="Tahoma" w:hAnsi="Tahoma" w:cs="Tahoma"/>
        </w:rPr>
      </w:pPr>
    </w:p>
    <w:p w:rsidR="00ED2A85" w:rsidRPr="00ED2A85" w:rsidRDefault="00ED2A85" w:rsidP="00ED2A85">
      <w:pPr>
        <w:spacing w:after="0"/>
        <w:ind w:left="360"/>
        <w:rPr>
          <w:rFonts w:ascii="Tahoma" w:hAnsi="Tahoma" w:cs="Tahoma"/>
        </w:rPr>
      </w:pPr>
    </w:p>
    <w:sectPr w:rsidR="00ED2A85" w:rsidRPr="00ED2A85" w:rsidSect="00FE720D">
      <w:footerReference w:type="default" r:id="rId16"/>
      <w:pgSz w:w="11906" w:h="16838"/>
      <w:pgMar w:top="1440" w:right="1440" w:bottom="1440" w:left="1440" w:header="708" w:footer="43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IM&amp;T" w:date="2014-09-09T11:28:00Z" w:initials="I">
    <w:p w:rsidR="00FE720D" w:rsidRDefault="00FE720D" w:rsidP="00FE720D">
      <w:pPr>
        <w:pStyle w:val="CommentText"/>
      </w:pPr>
      <w:r>
        <w:rPr>
          <w:rStyle w:val="CommentReference"/>
        </w:rPr>
        <w:annotationRef/>
      </w:r>
      <w:r>
        <w:t xml:space="preserve">You should include details here, even if you only plan to do basic descriptive statistics.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969" w:rsidRDefault="008F2969" w:rsidP="007D29EC">
      <w:pPr>
        <w:spacing w:after="0" w:line="240" w:lineRule="auto"/>
      </w:pPr>
      <w:r>
        <w:separator/>
      </w:r>
    </w:p>
  </w:endnote>
  <w:endnote w:type="continuationSeparator" w:id="0">
    <w:p w:rsidR="008F2969" w:rsidRDefault="008F2969" w:rsidP="007D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231" w:rsidRDefault="00830231" w:rsidP="007D29EC">
    <w:pPr>
      <w:autoSpaceDE w:val="0"/>
      <w:autoSpaceDN w:val="0"/>
      <w:adjustRightInd w:val="0"/>
      <w:spacing w:after="0" w:line="240" w:lineRule="auto"/>
      <w:rPr>
        <w:rFonts w:ascii="Calibri" w:hAnsi="Calibri" w:cs="Calibri"/>
        <w:color w:val="000000"/>
      </w:rPr>
    </w:pPr>
  </w:p>
  <w:p w:rsidR="0094099D" w:rsidRDefault="00ED2A85" w:rsidP="0094099D">
    <w:pPr>
      <w:autoSpaceDE w:val="0"/>
      <w:autoSpaceDN w:val="0"/>
      <w:adjustRightInd w:val="0"/>
      <w:spacing w:after="0" w:line="240" w:lineRule="auto"/>
      <w:jc w:val="center"/>
      <w:rPr>
        <w:rFonts w:cstheme="minorHAnsi"/>
        <w:i/>
        <w:iCs/>
        <w:color w:val="000000"/>
      </w:rPr>
    </w:pPr>
    <w:r>
      <w:rPr>
        <w:rFonts w:cstheme="minorHAnsi"/>
        <w:i/>
        <w:iCs/>
        <w:color w:val="000000"/>
      </w:rPr>
      <w:t>Benefits</w:t>
    </w:r>
    <w:r w:rsidR="0094099D" w:rsidRPr="0094099D">
      <w:rPr>
        <w:rFonts w:cstheme="minorHAnsi"/>
        <w:i/>
        <w:iCs/>
        <w:color w:val="000000"/>
      </w:rPr>
      <w:t xml:space="preserve"> of DBI calculation in elderly, discharged patients- a pilot study</w:t>
    </w:r>
  </w:p>
  <w:p w:rsidR="007D29EC" w:rsidRPr="0094099D" w:rsidRDefault="007D29EC" w:rsidP="0094099D">
    <w:pPr>
      <w:autoSpaceDE w:val="0"/>
      <w:autoSpaceDN w:val="0"/>
      <w:adjustRightInd w:val="0"/>
      <w:spacing w:after="0" w:line="240" w:lineRule="auto"/>
      <w:jc w:val="center"/>
      <w:rPr>
        <w:rFonts w:cstheme="minorHAnsi"/>
        <w:color w:val="000000"/>
      </w:rPr>
    </w:pPr>
    <w:r w:rsidRPr="0094099D">
      <w:rPr>
        <w:rFonts w:cstheme="minorHAnsi"/>
        <w:color w:val="000000"/>
      </w:rPr>
      <w:t>Protocol</w:t>
    </w:r>
    <w:r w:rsidR="00FE720D" w:rsidRPr="0094099D">
      <w:rPr>
        <w:rFonts w:cstheme="minorHAnsi"/>
        <w:color w:val="000000"/>
      </w:rPr>
      <w:t xml:space="preserve"> </w:t>
    </w:r>
    <w:r w:rsidR="00FE720D" w:rsidRPr="0094099D">
      <w:rPr>
        <w:rFonts w:cstheme="minorHAnsi"/>
        <w:color w:val="000000"/>
      </w:rPr>
      <w:tab/>
    </w:r>
    <w:r w:rsidR="00FE720D" w:rsidRPr="0094099D">
      <w:rPr>
        <w:rFonts w:cstheme="minorHAnsi"/>
        <w:color w:val="000000"/>
      </w:rPr>
      <w:tab/>
    </w:r>
    <w:r w:rsidR="00FE720D" w:rsidRPr="0094099D">
      <w:rPr>
        <w:rFonts w:cstheme="minorHAnsi"/>
        <w:color w:val="000000"/>
      </w:rPr>
      <w:tab/>
    </w:r>
    <w:r w:rsidR="00FE720D" w:rsidRPr="0094099D">
      <w:rPr>
        <w:rFonts w:cstheme="minorHAnsi"/>
        <w:color w:val="000000"/>
      </w:rPr>
      <w:tab/>
    </w:r>
    <w:r w:rsidR="00FE720D" w:rsidRPr="0094099D">
      <w:rPr>
        <w:rFonts w:cstheme="minorHAnsi"/>
        <w:color w:val="000000"/>
      </w:rPr>
      <w:tab/>
    </w:r>
    <w:r w:rsidR="00FE720D" w:rsidRPr="0094099D">
      <w:rPr>
        <w:rFonts w:cstheme="minorHAnsi"/>
        <w:color w:val="000000"/>
      </w:rPr>
      <w:tab/>
      <w:t xml:space="preserve">Page </w:t>
    </w:r>
    <w:r w:rsidR="00FE720D" w:rsidRPr="0094099D">
      <w:rPr>
        <w:rFonts w:cstheme="minorHAnsi"/>
        <w:b/>
        <w:color w:val="000000"/>
      </w:rPr>
      <w:fldChar w:fldCharType="begin"/>
    </w:r>
    <w:r w:rsidR="00FE720D" w:rsidRPr="0094099D">
      <w:rPr>
        <w:rFonts w:cstheme="minorHAnsi"/>
        <w:b/>
        <w:color w:val="000000"/>
      </w:rPr>
      <w:instrText xml:space="preserve"> PAGE  \* Arabic  \* MERGEFORMAT </w:instrText>
    </w:r>
    <w:r w:rsidR="00FE720D" w:rsidRPr="0094099D">
      <w:rPr>
        <w:rFonts w:cstheme="minorHAnsi"/>
        <w:b/>
        <w:color w:val="000000"/>
      </w:rPr>
      <w:fldChar w:fldCharType="separate"/>
    </w:r>
    <w:r w:rsidR="00EC6299">
      <w:rPr>
        <w:rFonts w:cstheme="minorHAnsi"/>
        <w:b/>
        <w:noProof/>
        <w:color w:val="000000"/>
      </w:rPr>
      <w:t>9</w:t>
    </w:r>
    <w:r w:rsidR="00FE720D" w:rsidRPr="0094099D">
      <w:rPr>
        <w:rFonts w:cstheme="minorHAnsi"/>
        <w:b/>
        <w:color w:val="000000"/>
      </w:rPr>
      <w:fldChar w:fldCharType="end"/>
    </w:r>
    <w:r w:rsidR="00FE720D" w:rsidRPr="0094099D">
      <w:rPr>
        <w:rFonts w:cstheme="minorHAnsi"/>
        <w:color w:val="000000"/>
      </w:rPr>
      <w:t xml:space="preserve"> of </w:t>
    </w:r>
    <w:r w:rsidR="00FE720D" w:rsidRPr="0094099D">
      <w:rPr>
        <w:rFonts w:cstheme="minorHAnsi"/>
        <w:b/>
        <w:color w:val="000000"/>
      </w:rPr>
      <w:fldChar w:fldCharType="begin"/>
    </w:r>
    <w:r w:rsidR="00FE720D" w:rsidRPr="0094099D">
      <w:rPr>
        <w:rFonts w:cstheme="minorHAnsi"/>
        <w:b/>
        <w:color w:val="000000"/>
      </w:rPr>
      <w:instrText xml:space="preserve"> NUMPAGES  \* Arabic  \* MERGEFORMAT </w:instrText>
    </w:r>
    <w:r w:rsidR="00FE720D" w:rsidRPr="0094099D">
      <w:rPr>
        <w:rFonts w:cstheme="minorHAnsi"/>
        <w:b/>
        <w:color w:val="000000"/>
      </w:rPr>
      <w:fldChar w:fldCharType="separate"/>
    </w:r>
    <w:r w:rsidR="00EC6299">
      <w:rPr>
        <w:rFonts w:cstheme="minorHAnsi"/>
        <w:b/>
        <w:noProof/>
        <w:color w:val="000000"/>
      </w:rPr>
      <w:t>13</w:t>
    </w:r>
    <w:r w:rsidR="00FE720D" w:rsidRPr="0094099D">
      <w:rPr>
        <w:rFonts w:cstheme="minorHAnsi"/>
        <w:b/>
        <w:color w:val="000000"/>
      </w:rPr>
      <w:fldChar w:fldCharType="end"/>
    </w:r>
  </w:p>
  <w:p w:rsidR="00830681" w:rsidRPr="00830681" w:rsidRDefault="006F71DC" w:rsidP="00830681">
    <w:pPr>
      <w:pStyle w:val="Heading1"/>
      <w:jc w:val="center"/>
      <w:rPr>
        <w:i/>
      </w:rPr>
    </w:pPr>
    <w:r>
      <w:rPr>
        <w:i/>
      </w:rPr>
      <w:t>Version 2</w:t>
    </w:r>
    <w:r w:rsidR="007D29EC" w:rsidRPr="0094099D">
      <w:rPr>
        <w:i/>
      </w:rPr>
      <w:t xml:space="preserve">, </w:t>
    </w:r>
    <w:r>
      <w:rPr>
        <w:i/>
      </w:rPr>
      <w:t>10.03</w:t>
    </w:r>
    <w:r w:rsidR="00830681">
      <w:rPr>
        <w:i/>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969" w:rsidRDefault="008F2969" w:rsidP="007D29EC">
      <w:pPr>
        <w:spacing w:after="0" w:line="240" w:lineRule="auto"/>
      </w:pPr>
      <w:r>
        <w:separator/>
      </w:r>
    </w:p>
  </w:footnote>
  <w:footnote w:type="continuationSeparator" w:id="0">
    <w:p w:rsidR="008F2969" w:rsidRDefault="008F2969" w:rsidP="007D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6B3E"/>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12452469"/>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13723F63"/>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193F2BE3"/>
    <w:multiLevelType w:val="hybridMultilevel"/>
    <w:tmpl w:val="CA743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B1C3530"/>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1C953B87"/>
    <w:multiLevelType w:val="hybridMultilevel"/>
    <w:tmpl w:val="AC5CD6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3F4AA5"/>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nsid w:val="23716B5F"/>
    <w:multiLevelType w:val="multilevel"/>
    <w:tmpl w:val="9BCE9B3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25C8185B"/>
    <w:multiLevelType w:val="hybridMultilevel"/>
    <w:tmpl w:val="46BC0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0">
    <w:nsid w:val="26AF2F2C"/>
    <w:multiLevelType w:val="multilevel"/>
    <w:tmpl w:val="E6E2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472AC"/>
    <w:multiLevelType w:val="hybridMultilevel"/>
    <w:tmpl w:val="47FE6B90"/>
    <w:lvl w:ilvl="0" w:tplc="7500DD5A">
      <w:start w:val="6"/>
      <w:numFmt w:val="bullet"/>
      <w:lvlText w:val="-"/>
      <w:lvlJc w:val="left"/>
      <w:pPr>
        <w:ind w:left="420" w:hanging="360"/>
      </w:pPr>
      <w:rPr>
        <w:rFonts w:ascii="Calibri,Bold" w:eastAsiaTheme="minorHAnsi" w:hAnsi="Calibri,Bold" w:cs="Calibri,Bold"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nsid w:val="2B564C0E"/>
    <w:multiLevelType w:val="hybridMultilevel"/>
    <w:tmpl w:val="F9BA014C"/>
    <w:lvl w:ilvl="0" w:tplc="0C090001">
      <w:start w:val="1"/>
      <w:numFmt w:val="bullet"/>
      <w:lvlText w:val=""/>
      <w:lvlJc w:val="left"/>
      <w:pPr>
        <w:tabs>
          <w:tab w:val="num" w:pos="1571"/>
        </w:tabs>
        <w:ind w:left="1571" w:hanging="360"/>
      </w:pPr>
      <w:rPr>
        <w:rFonts w:ascii="Symbol" w:hAnsi="Symbol" w:hint="default"/>
      </w:rPr>
    </w:lvl>
    <w:lvl w:ilvl="1" w:tplc="0C090003" w:tentative="1">
      <w:start w:val="1"/>
      <w:numFmt w:val="bullet"/>
      <w:lvlText w:val="o"/>
      <w:lvlJc w:val="left"/>
      <w:pPr>
        <w:tabs>
          <w:tab w:val="num" w:pos="2291"/>
        </w:tabs>
        <w:ind w:left="2291" w:hanging="360"/>
      </w:pPr>
      <w:rPr>
        <w:rFonts w:ascii="Courier New" w:hAnsi="Courier New" w:cs="Courier New" w:hint="default"/>
      </w:rPr>
    </w:lvl>
    <w:lvl w:ilvl="2" w:tplc="0C090005" w:tentative="1">
      <w:start w:val="1"/>
      <w:numFmt w:val="bullet"/>
      <w:lvlText w:val=""/>
      <w:lvlJc w:val="left"/>
      <w:pPr>
        <w:tabs>
          <w:tab w:val="num" w:pos="3011"/>
        </w:tabs>
        <w:ind w:left="3011" w:hanging="360"/>
      </w:pPr>
      <w:rPr>
        <w:rFonts w:ascii="Wingdings" w:hAnsi="Wingdings" w:hint="default"/>
      </w:rPr>
    </w:lvl>
    <w:lvl w:ilvl="3" w:tplc="0C090001" w:tentative="1">
      <w:start w:val="1"/>
      <w:numFmt w:val="bullet"/>
      <w:lvlText w:val=""/>
      <w:lvlJc w:val="left"/>
      <w:pPr>
        <w:tabs>
          <w:tab w:val="num" w:pos="3731"/>
        </w:tabs>
        <w:ind w:left="3731" w:hanging="360"/>
      </w:pPr>
      <w:rPr>
        <w:rFonts w:ascii="Symbol" w:hAnsi="Symbol" w:hint="default"/>
      </w:rPr>
    </w:lvl>
    <w:lvl w:ilvl="4" w:tplc="0C090003" w:tentative="1">
      <w:start w:val="1"/>
      <w:numFmt w:val="bullet"/>
      <w:lvlText w:val="o"/>
      <w:lvlJc w:val="left"/>
      <w:pPr>
        <w:tabs>
          <w:tab w:val="num" w:pos="4451"/>
        </w:tabs>
        <w:ind w:left="4451" w:hanging="360"/>
      </w:pPr>
      <w:rPr>
        <w:rFonts w:ascii="Courier New" w:hAnsi="Courier New" w:cs="Courier New" w:hint="default"/>
      </w:rPr>
    </w:lvl>
    <w:lvl w:ilvl="5" w:tplc="0C090005" w:tentative="1">
      <w:start w:val="1"/>
      <w:numFmt w:val="bullet"/>
      <w:lvlText w:val=""/>
      <w:lvlJc w:val="left"/>
      <w:pPr>
        <w:tabs>
          <w:tab w:val="num" w:pos="5171"/>
        </w:tabs>
        <w:ind w:left="5171" w:hanging="360"/>
      </w:pPr>
      <w:rPr>
        <w:rFonts w:ascii="Wingdings" w:hAnsi="Wingdings" w:hint="default"/>
      </w:rPr>
    </w:lvl>
    <w:lvl w:ilvl="6" w:tplc="0C090001" w:tentative="1">
      <w:start w:val="1"/>
      <w:numFmt w:val="bullet"/>
      <w:lvlText w:val=""/>
      <w:lvlJc w:val="left"/>
      <w:pPr>
        <w:tabs>
          <w:tab w:val="num" w:pos="5891"/>
        </w:tabs>
        <w:ind w:left="5891" w:hanging="360"/>
      </w:pPr>
      <w:rPr>
        <w:rFonts w:ascii="Symbol" w:hAnsi="Symbol" w:hint="default"/>
      </w:rPr>
    </w:lvl>
    <w:lvl w:ilvl="7" w:tplc="0C090003" w:tentative="1">
      <w:start w:val="1"/>
      <w:numFmt w:val="bullet"/>
      <w:lvlText w:val="o"/>
      <w:lvlJc w:val="left"/>
      <w:pPr>
        <w:tabs>
          <w:tab w:val="num" w:pos="6611"/>
        </w:tabs>
        <w:ind w:left="6611" w:hanging="360"/>
      </w:pPr>
      <w:rPr>
        <w:rFonts w:ascii="Courier New" w:hAnsi="Courier New" w:cs="Courier New" w:hint="default"/>
      </w:rPr>
    </w:lvl>
    <w:lvl w:ilvl="8" w:tplc="0C090005" w:tentative="1">
      <w:start w:val="1"/>
      <w:numFmt w:val="bullet"/>
      <w:lvlText w:val=""/>
      <w:lvlJc w:val="left"/>
      <w:pPr>
        <w:tabs>
          <w:tab w:val="num" w:pos="7331"/>
        </w:tabs>
        <w:ind w:left="7331" w:hanging="360"/>
      </w:pPr>
      <w:rPr>
        <w:rFonts w:ascii="Wingdings" w:hAnsi="Wingdings" w:hint="default"/>
      </w:rPr>
    </w:lvl>
  </w:abstractNum>
  <w:abstractNum w:abstractNumId="13">
    <w:nsid w:val="37A57C43"/>
    <w:multiLevelType w:val="hybridMultilevel"/>
    <w:tmpl w:val="B62C6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nsid w:val="3ED41184"/>
    <w:multiLevelType w:val="hybridMultilevel"/>
    <w:tmpl w:val="2D3A9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1B163D8"/>
    <w:multiLevelType w:val="multilevel"/>
    <w:tmpl w:val="B25AB8D0"/>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4AFD1EEB"/>
    <w:multiLevelType w:val="multilevel"/>
    <w:tmpl w:val="BB52AA6A"/>
    <w:lvl w:ilvl="0">
      <w:start w:val="2"/>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8">
    <w:nsid w:val="61EE2BA4"/>
    <w:multiLevelType w:val="multilevel"/>
    <w:tmpl w:val="A9524404"/>
    <w:lvl w:ilvl="0">
      <w:start w:val="4"/>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62AE0932"/>
    <w:multiLevelType w:val="multilevel"/>
    <w:tmpl w:val="B25AB8D0"/>
    <w:lvl w:ilvl="0">
      <w:start w:val="2"/>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i w:val="0"/>
        <w:color w:val="000000"/>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1">
    <w:nsid w:val="7A433F91"/>
    <w:multiLevelType w:val="hybridMultilevel"/>
    <w:tmpl w:val="672C88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1"/>
  </w:num>
  <w:num w:numId="3">
    <w:abstractNumId w:val="11"/>
  </w:num>
  <w:num w:numId="4">
    <w:abstractNumId w:val="19"/>
  </w:num>
  <w:num w:numId="5">
    <w:abstractNumId w:val="20"/>
  </w:num>
  <w:num w:numId="6">
    <w:abstractNumId w:val="14"/>
  </w:num>
  <w:num w:numId="7">
    <w:abstractNumId w:val="9"/>
  </w:num>
  <w:num w:numId="8">
    <w:abstractNumId w:val="12"/>
  </w:num>
  <w:num w:numId="9">
    <w:abstractNumId w:val="13"/>
  </w:num>
  <w:num w:numId="10">
    <w:abstractNumId w:val="17"/>
  </w:num>
  <w:num w:numId="11">
    <w:abstractNumId w:val="7"/>
  </w:num>
  <w:num w:numId="12">
    <w:abstractNumId w:val="16"/>
  </w:num>
  <w:num w:numId="13">
    <w:abstractNumId w:val="1"/>
  </w:num>
  <w:num w:numId="14">
    <w:abstractNumId w:val="8"/>
  </w:num>
  <w:num w:numId="15">
    <w:abstractNumId w:val="18"/>
  </w:num>
  <w:num w:numId="16">
    <w:abstractNumId w:val="15"/>
  </w:num>
  <w:num w:numId="17">
    <w:abstractNumId w:val="3"/>
  </w:num>
  <w:num w:numId="18">
    <w:abstractNumId w:val="10"/>
  </w:num>
  <w:num w:numId="19">
    <w:abstractNumId w:val="2"/>
  </w:num>
  <w:num w:numId="20">
    <w:abstractNumId w:val="0"/>
  </w:num>
  <w:num w:numId="21">
    <w:abstractNumId w:val="4"/>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9EC"/>
    <w:rsid w:val="000101AB"/>
    <w:rsid w:val="00024135"/>
    <w:rsid w:val="00026F3C"/>
    <w:rsid w:val="00044CFB"/>
    <w:rsid w:val="00051A25"/>
    <w:rsid w:val="00093DD5"/>
    <w:rsid w:val="000A2328"/>
    <w:rsid w:val="000C0FD7"/>
    <w:rsid w:val="000F3A56"/>
    <w:rsid w:val="001011A0"/>
    <w:rsid w:val="00105D16"/>
    <w:rsid w:val="001E2C1A"/>
    <w:rsid w:val="00226EEB"/>
    <w:rsid w:val="00250DFF"/>
    <w:rsid w:val="00284974"/>
    <w:rsid w:val="00290E7E"/>
    <w:rsid w:val="002B282A"/>
    <w:rsid w:val="002B4941"/>
    <w:rsid w:val="002C5107"/>
    <w:rsid w:val="002D248E"/>
    <w:rsid w:val="002D321E"/>
    <w:rsid w:val="00303C9D"/>
    <w:rsid w:val="00322F7E"/>
    <w:rsid w:val="00370CCB"/>
    <w:rsid w:val="003C3960"/>
    <w:rsid w:val="003D6902"/>
    <w:rsid w:val="003D7A5D"/>
    <w:rsid w:val="003E1148"/>
    <w:rsid w:val="003E30B3"/>
    <w:rsid w:val="00403DF2"/>
    <w:rsid w:val="0040591F"/>
    <w:rsid w:val="00411578"/>
    <w:rsid w:val="00417339"/>
    <w:rsid w:val="0042326C"/>
    <w:rsid w:val="0042763D"/>
    <w:rsid w:val="00434766"/>
    <w:rsid w:val="00467784"/>
    <w:rsid w:val="0049655F"/>
    <w:rsid w:val="004B3721"/>
    <w:rsid w:val="004F790E"/>
    <w:rsid w:val="00504A05"/>
    <w:rsid w:val="00513B5B"/>
    <w:rsid w:val="00534F98"/>
    <w:rsid w:val="00540378"/>
    <w:rsid w:val="005970FA"/>
    <w:rsid w:val="005A6F21"/>
    <w:rsid w:val="00607A13"/>
    <w:rsid w:val="00607FCC"/>
    <w:rsid w:val="00651BAE"/>
    <w:rsid w:val="006A3C00"/>
    <w:rsid w:val="006F71DC"/>
    <w:rsid w:val="0072664D"/>
    <w:rsid w:val="00730460"/>
    <w:rsid w:val="00775708"/>
    <w:rsid w:val="007C4A60"/>
    <w:rsid w:val="007C5655"/>
    <w:rsid w:val="007D29EC"/>
    <w:rsid w:val="007E08BC"/>
    <w:rsid w:val="00806E7F"/>
    <w:rsid w:val="00814D1D"/>
    <w:rsid w:val="00830231"/>
    <w:rsid w:val="00830528"/>
    <w:rsid w:val="00830681"/>
    <w:rsid w:val="008659B6"/>
    <w:rsid w:val="008A2155"/>
    <w:rsid w:val="008D54D5"/>
    <w:rsid w:val="008D7596"/>
    <w:rsid w:val="008F2969"/>
    <w:rsid w:val="00900EA0"/>
    <w:rsid w:val="0094099D"/>
    <w:rsid w:val="00942EC2"/>
    <w:rsid w:val="009548F3"/>
    <w:rsid w:val="00981D08"/>
    <w:rsid w:val="009964EC"/>
    <w:rsid w:val="009A6094"/>
    <w:rsid w:val="009A72D1"/>
    <w:rsid w:val="009B3D85"/>
    <w:rsid w:val="009E1FD8"/>
    <w:rsid w:val="00A146BE"/>
    <w:rsid w:val="00A2609D"/>
    <w:rsid w:val="00A30E82"/>
    <w:rsid w:val="00A45F74"/>
    <w:rsid w:val="00A51ACB"/>
    <w:rsid w:val="00A8076B"/>
    <w:rsid w:val="00A8691C"/>
    <w:rsid w:val="00AB04C8"/>
    <w:rsid w:val="00AF18C1"/>
    <w:rsid w:val="00B11E54"/>
    <w:rsid w:val="00B25488"/>
    <w:rsid w:val="00B3032E"/>
    <w:rsid w:val="00B67218"/>
    <w:rsid w:val="00B75816"/>
    <w:rsid w:val="00B867EC"/>
    <w:rsid w:val="00BA267C"/>
    <w:rsid w:val="00BB1865"/>
    <w:rsid w:val="00BB4BAB"/>
    <w:rsid w:val="00BD6DB1"/>
    <w:rsid w:val="00BE4DA4"/>
    <w:rsid w:val="00BE7A83"/>
    <w:rsid w:val="00BF3AD9"/>
    <w:rsid w:val="00C17CC6"/>
    <w:rsid w:val="00C24BF3"/>
    <w:rsid w:val="00C632D1"/>
    <w:rsid w:val="00C87FED"/>
    <w:rsid w:val="00CB4120"/>
    <w:rsid w:val="00D07BCB"/>
    <w:rsid w:val="00D130A5"/>
    <w:rsid w:val="00D27DE6"/>
    <w:rsid w:val="00D52C95"/>
    <w:rsid w:val="00D53E64"/>
    <w:rsid w:val="00D7388F"/>
    <w:rsid w:val="00D97C0E"/>
    <w:rsid w:val="00DB47EE"/>
    <w:rsid w:val="00DC7FED"/>
    <w:rsid w:val="00DF34C6"/>
    <w:rsid w:val="00E45B04"/>
    <w:rsid w:val="00E805EB"/>
    <w:rsid w:val="00E913DD"/>
    <w:rsid w:val="00E94D62"/>
    <w:rsid w:val="00E96C18"/>
    <w:rsid w:val="00EC6299"/>
    <w:rsid w:val="00EC7267"/>
    <w:rsid w:val="00ED2A85"/>
    <w:rsid w:val="00EF13CB"/>
    <w:rsid w:val="00EF3FCC"/>
    <w:rsid w:val="00EF5C39"/>
    <w:rsid w:val="00F551E0"/>
    <w:rsid w:val="00F92C82"/>
    <w:rsid w:val="00FC73FC"/>
    <w:rsid w:val="00FD52C3"/>
    <w:rsid w:val="00FE720D"/>
    <w:rsid w:val="00FF17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0D"/>
  </w:style>
  <w:style w:type="paragraph" w:styleId="Heading1">
    <w:name w:val="heading 1"/>
    <w:basedOn w:val="Normal"/>
    <w:next w:val="Normal"/>
    <w:link w:val="Heading1Char"/>
    <w:uiPriority w:val="9"/>
    <w:qFormat/>
    <w:rsid w:val="00FE720D"/>
    <w:pPr>
      <w:keepNext/>
      <w:autoSpaceDE w:val="0"/>
      <w:autoSpaceDN w:val="0"/>
      <w:adjustRightInd w:val="0"/>
      <w:spacing w:after="0" w:line="240" w:lineRule="auto"/>
      <w:outlineLvl w:val="0"/>
    </w:pPr>
    <w:rPr>
      <w:rFonts w:cstheme="minorHAnsi"/>
      <w:b/>
      <w:iCs/>
      <w:color w:val="000000"/>
    </w:rPr>
  </w:style>
  <w:style w:type="paragraph" w:styleId="Heading2">
    <w:name w:val="heading 2"/>
    <w:basedOn w:val="Normal"/>
    <w:next w:val="Normal"/>
    <w:link w:val="Heading2Char"/>
    <w:uiPriority w:val="9"/>
    <w:semiHidden/>
    <w:unhideWhenUsed/>
    <w:qFormat/>
    <w:rsid w:val="00FE7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EC"/>
  </w:style>
  <w:style w:type="paragraph" w:styleId="Footer">
    <w:name w:val="footer"/>
    <w:basedOn w:val="Normal"/>
    <w:link w:val="FooterChar"/>
    <w:uiPriority w:val="99"/>
    <w:unhideWhenUsed/>
    <w:rsid w:val="007D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EC"/>
  </w:style>
  <w:style w:type="paragraph" w:styleId="ListParagraph">
    <w:name w:val="List Paragraph"/>
    <w:basedOn w:val="Normal"/>
    <w:uiPriority w:val="34"/>
    <w:qFormat/>
    <w:rsid w:val="007D29EC"/>
    <w:pPr>
      <w:ind w:left="720"/>
      <w:contextualSpacing/>
    </w:pPr>
  </w:style>
  <w:style w:type="table" w:styleId="TableGrid">
    <w:name w:val="Table Grid"/>
    <w:basedOn w:val="TableNormal"/>
    <w:uiPriority w:val="59"/>
    <w:rsid w:val="00C6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E720D"/>
    <w:pPr>
      <w:autoSpaceDE w:val="0"/>
      <w:autoSpaceDN w:val="0"/>
      <w:adjustRightInd w:val="0"/>
      <w:spacing w:after="0" w:line="240" w:lineRule="auto"/>
      <w:jc w:val="center"/>
    </w:pPr>
    <w:rPr>
      <w:rFonts w:ascii="Calibri,Bold" w:hAnsi="Calibri,Bold" w:cs="Calibri,Bold"/>
      <w:b/>
      <w:bCs/>
      <w:color w:val="000000"/>
    </w:rPr>
  </w:style>
  <w:style w:type="character" w:customStyle="1" w:styleId="TitleChar">
    <w:name w:val="Title Char"/>
    <w:basedOn w:val="DefaultParagraphFont"/>
    <w:link w:val="Title"/>
    <w:uiPriority w:val="10"/>
    <w:rsid w:val="00FE720D"/>
    <w:rPr>
      <w:rFonts w:ascii="Calibri,Bold" w:hAnsi="Calibri,Bold" w:cs="Calibri,Bold"/>
      <w:b/>
      <w:bCs/>
      <w:color w:val="000000"/>
    </w:rPr>
  </w:style>
  <w:style w:type="character" w:customStyle="1" w:styleId="Heading1Char">
    <w:name w:val="Heading 1 Char"/>
    <w:basedOn w:val="DefaultParagraphFont"/>
    <w:link w:val="Heading1"/>
    <w:uiPriority w:val="9"/>
    <w:rsid w:val="00FE720D"/>
    <w:rPr>
      <w:rFonts w:cstheme="minorHAnsi"/>
      <w:b/>
      <w:iCs/>
      <w:color w:val="000000"/>
    </w:rPr>
  </w:style>
  <w:style w:type="paragraph" w:styleId="BodyText">
    <w:name w:val="Body Text"/>
    <w:basedOn w:val="Normal"/>
    <w:link w:val="BodyTextChar"/>
    <w:uiPriority w:val="99"/>
    <w:unhideWhenUsed/>
    <w:rsid w:val="00FE720D"/>
    <w:pPr>
      <w:autoSpaceDE w:val="0"/>
      <w:autoSpaceDN w:val="0"/>
      <w:adjustRightInd w:val="0"/>
      <w:spacing w:after="0" w:line="240" w:lineRule="auto"/>
      <w:jc w:val="center"/>
    </w:pPr>
    <w:rPr>
      <w:rFonts w:ascii="Calibri" w:hAnsi="Calibri" w:cs="Calibri"/>
      <w:color w:val="000000"/>
    </w:rPr>
  </w:style>
  <w:style w:type="character" w:customStyle="1" w:styleId="BodyTextChar">
    <w:name w:val="Body Text Char"/>
    <w:basedOn w:val="DefaultParagraphFont"/>
    <w:link w:val="BodyText"/>
    <w:uiPriority w:val="99"/>
    <w:rsid w:val="00FE720D"/>
    <w:rPr>
      <w:rFonts w:ascii="Calibri" w:hAnsi="Calibri" w:cs="Calibri"/>
      <w:color w:val="000000"/>
    </w:rPr>
  </w:style>
  <w:style w:type="character" w:styleId="CommentReference">
    <w:name w:val="annotation reference"/>
    <w:basedOn w:val="DefaultParagraphFont"/>
    <w:uiPriority w:val="99"/>
    <w:semiHidden/>
    <w:unhideWhenUsed/>
    <w:rsid w:val="00FE720D"/>
    <w:rPr>
      <w:sz w:val="16"/>
      <w:szCs w:val="16"/>
    </w:rPr>
  </w:style>
  <w:style w:type="paragraph" w:styleId="CommentText">
    <w:name w:val="annotation text"/>
    <w:basedOn w:val="Normal"/>
    <w:link w:val="CommentTextChar"/>
    <w:uiPriority w:val="99"/>
    <w:semiHidden/>
    <w:unhideWhenUsed/>
    <w:rsid w:val="00FE720D"/>
    <w:pPr>
      <w:spacing w:line="240" w:lineRule="auto"/>
    </w:pPr>
    <w:rPr>
      <w:sz w:val="20"/>
      <w:szCs w:val="20"/>
    </w:rPr>
  </w:style>
  <w:style w:type="character" w:customStyle="1" w:styleId="CommentTextChar">
    <w:name w:val="Comment Text Char"/>
    <w:basedOn w:val="DefaultParagraphFont"/>
    <w:link w:val="CommentText"/>
    <w:uiPriority w:val="99"/>
    <w:semiHidden/>
    <w:rsid w:val="00FE720D"/>
    <w:rPr>
      <w:sz w:val="20"/>
      <w:szCs w:val="20"/>
    </w:rPr>
  </w:style>
  <w:style w:type="paragraph" w:styleId="CommentSubject">
    <w:name w:val="annotation subject"/>
    <w:basedOn w:val="CommentText"/>
    <w:next w:val="CommentText"/>
    <w:link w:val="CommentSubjectChar"/>
    <w:uiPriority w:val="99"/>
    <w:semiHidden/>
    <w:unhideWhenUsed/>
    <w:rsid w:val="00FE720D"/>
    <w:rPr>
      <w:b/>
      <w:bCs/>
    </w:rPr>
  </w:style>
  <w:style w:type="character" w:customStyle="1" w:styleId="CommentSubjectChar">
    <w:name w:val="Comment Subject Char"/>
    <w:basedOn w:val="CommentTextChar"/>
    <w:link w:val="CommentSubject"/>
    <w:uiPriority w:val="99"/>
    <w:semiHidden/>
    <w:rsid w:val="00FE720D"/>
    <w:rPr>
      <w:b/>
      <w:bCs/>
      <w:sz w:val="20"/>
      <w:szCs w:val="20"/>
    </w:rPr>
  </w:style>
  <w:style w:type="paragraph" w:styleId="BalloonText">
    <w:name w:val="Balloon Text"/>
    <w:basedOn w:val="Normal"/>
    <w:link w:val="BalloonTextChar"/>
    <w:uiPriority w:val="99"/>
    <w:semiHidden/>
    <w:unhideWhenUsed/>
    <w:rsid w:val="00FE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0D"/>
    <w:rPr>
      <w:rFonts w:ascii="Tahoma" w:hAnsi="Tahoma" w:cs="Tahoma"/>
      <w:sz w:val="16"/>
      <w:szCs w:val="16"/>
    </w:rPr>
  </w:style>
  <w:style w:type="character" w:customStyle="1" w:styleId="Heading2Char">
    <w:name w:val="Heading 2 Char"/>
    <w:basedOn w:val="DefaultParagraphFont"/>
    <w:link w:val="Heading2"/>
    <w:uiPriority w:val="9"/>
    <w:semiHidden/>
    <w:rsid w:val="00FE720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FE720D"/>
    <w:pPr>
      <w:spacing w:after="120"/>
      <w:ind w:left="283"/>
    </w:pPr>
  </w:style>
  <w:style w:type="character" w:customStyle="1" w:styleId="BodyTextIndentChar">
    <w:name w:val="Body Text Indent Char"/>
    <w:basedOn w:val="DefaultParagraphFont"/>
    <w:link w:val="BodyTextIndent"/>
    <w:uiPriority w:val="99"/>
    <w:semiHidden/>
    <w:rsid w:val="00FE720D"/>
  </w:style>
  <w:style w:type="paragraph" w:styleId="BodyText2">
    <w:name w:val="Body Text 2"/>
    <w:basedOn w:val="Normal"/>
    <w:link w:val="BodyText2Char"/>
    <w:uiPriority w:val="99"/>
    <w:unhideWhenUsed/>
    <w:rsid w:val="00FE720D"/>
    <w:rPr>
      <w:color w:val="FF0000"/>
    </w:rPr>
  </w:style>
  <w:style w:type="character" w:customStyle="1" w:styleId="BodyText2Char">
    <w:name w:val="Body Text 2 Char"/>
    <w:basedOn w:val="DefaultParagraphFont"/>
    <w:link w:val="BodyText2"/>
    <w:uiPriority w:val="99"/>
    <w:rsid w:val="00FE720D"/>
    <w:rPr>
      <w:color w:val="FF0000"/>
    </w:rPr>
  </w:style>
  <w:style w:type="paragraph" w:styleId="NormalWeb">
    <w:name w:val="Normal (Web)"/>
    <w:basedOn w:val="Normal"/>
    <w:uiPriority w:val="99"/>
    <w:unhideWhenUsed/>
    <w:rsid w:val="00FE7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FE720D"/>
    <w:pPr>
      <w:autoSpaceDE w:val="0"/>
      <w:autoSpaceDN w:val="0"/>
      <w:adjustRightInd w:val="0"/>
      <w:spacing w:after="0" w:line="240" w:lineRule="auto"/>
    </w:pPr>
    <w:rPr>
      <w:rFonts w:ascii="Calibri,Bold" w:hAnsi="Calibri,Bold" w:cs="Calibri,Bold"/>
      <w:bCs/>
      <w:color w:val="000000"/>
    </w:rPr>
  </w:style>
  <w:style w:type="character" w:customStyle="1" w:styleId="BodyText3Char">
    <w:name w:val="Body Text 3 Char"/>
    <w:basedOn w:val="DefaultParagraphFont"/>
    <w:link w:val="BodyText3"/>
    <w:uiPriority w:val="99"/>
    <w:rsid w:val="00FE720D"/>
    <w:rPr>
      <w:rFonts w:ascii="Calibri,Bold" w:hAnsi="Calibri,Bold" w:cs="Calibri,Bold"/>
      <w:bCs/>
      <w:color w:val="000000"/>
    </w:rPr>
  </w:style>
  <w:style w:type="character" w:styleId="Hyperlink">
    <w:name w:val="Hyperlink"/>
    <w:basedOn w:val="DefaultParagraphFont"/>
    <w:uiPriority w:val="99"/>
    <w:unhideWhenUsed/>
    <w:rsid w:val="00ED2A85"/>
    <w:rPr>
      <w:color w:val="0000FF" w:themeColor="hyperlink"/>
      <w:u w:val="single"/>
    </w:rPr>
  </w:style>
  <w:style w:type="character" w:customStyle="1" w:styleId="apple-converted-space">
    <w:name w:val="apple-converted-space"/>
    <w:basedOn w:val="DefaultParagraphFont"/>
    <w:rsid w:val="00BD6DB1"/>
  </w:style>
  <w:style w:type="character" w:styleId="Emphasis">
    <w:name w:val="Emphasis"/>
    <w:basedOn w:val="DefaultParagraphFont"/>
    <w:uiPriority w:val="20"/>
    <w:qFormat/>
    <w:rsid w:val="00BD6DB1"/>
    <w:rPr>
      <w:i/>
      <w:iCs/>
    </w:rPr>
  </w:style>
  <w:style w:type="character" w:customStyle="1" w:styleId="mi">
    <w:name w:val="mi"/>
    <w:basedOn w:val="DefaultParagraphFont"/>
    <w:rsid w:val="00BD6DB1"/>
  </w:style>
  <w:style w:type="character" w:customStyle="1" w:styleId="mo">
    <w:name w:val="mo"/>
    <w:basedOn w:val="DefaultParagraphFont"/>
    <w:rsid w:val="00BD6DB1"/>
  </w:style>
  <w:style w:type="character" w:customStyle="1" w:styleId="mn">
    <w:name w:val="mn"/>
    <w:basedOn w:val="DefaultParagraphFont"/>
    <w:rsid w:val="00BD6DB1"/>
  </w:style>
  <w:style w:type="paragraph" w:styleId="Caption">
    <w:name w:val="caption"/>
    <w:basedOn w:val="Normal"/>
    <w:next w:val="Normal"/>
    <w:uiPriority w:val="35"/>
    <w:unhideWhenUsed/>
    <w:qFormat/>
    <w:rsid w:val="000F3A56"/>
    <w:pPr>
      <w:spacing w:line="240" w:lineRule="auto"/>
    </w:pPr>
    <w:rPr>
      <w:b/>
      <w:bCs/>
      <w:color w:val="4F81BD" w:themeColor="accent1"/>
      <w:sz w:val="18"/>
      <w:szCs w:val="18"/>
    </w:rPr>
  </w:style>
  <w:style w:type="character" w:customStyle="1" w:styleId="mtext">
    <w:name w:val="mtext"/>
    <w:basedOn w:val="DefaultParagraphFont"/>
    <w:rsid w:val="003D7A5D"/>
  </w:style>
  <w:style w:type="character" w:styleId="HTMLCite">
    <w:name w:val="HTML Cite"/>
    <w:basedOn w:val="DefaultParagraphFont"/>
    <w:uiPriority w:val="99"/>
    <w:semiHidden/>
    <w:unhideWhenUsed/>
    <w:rsid w:val="00775708"/>
    <w:rPr>
      <w:i/>
      <w:iCs/>
    </w:rPr>
  </w:style>
  <w:style w:type="character" w:customStyle="1" w:styleId="author">
    <w:name w:val="author"/>
    <w:basedOn w:val="DefaultParagraphFont"/>
    <w:rsid w:val="00775708"/>
  </w:style>
  <w:style w:type="character" w:customStyle="1" w:styleId="articletitle">
    <w:name w:val="articletitle"/>
    <w:basedOn w:val="DefaultParagraphFont"/>
    <w:rsid w:val="00775708"/>
  </w:style>
  <w:style w:type="character" w:customStyle="1" w:styleId="journaltitle">
    <w:name w:val="journaltitle"/>
    <w:basedOn w:val="DefaultParagraphFont"/>
    <w:rsid w:val="00775708"/>
  </w:style>
  <w:style w:type="character" w:customStyle="1" w:styleId="pubyear">
    <w:name w:val="pubyear"/>
    <w:basedOn w:val="DefaultParagraphFont"/>
    <w:rsid w:val="00775708"/>
  </w:style>
  <w:style w:type="character" w:customStyle="1" w:styleId="vol">
    <w:name w:val="vol"/>
    <w:basedOn w:val="DefaultParagraphFont"/>
    <w:rsid w:val="00775708"/>
  </w:style>
  <w:style w:type="character" w:customStyle="1" w:styleId="pagefirst">
    <w:name w:val="pagefirst"/>
    <w:basedOn w:val="DefaultParagraphFont"/>
    <w:rsid w:val="00775708"/>
  </w:style>
  <w:style w:type="character" w:customStyle="1" w:styleId="pagelast">
    <w:name w:val="pagelast"/>
    <w:basedOn w:val="DefaultParagraphFont"/>
    <w:rsid w:val="00775708"/>
  </w:style>
  <w:style w:type="character" w:customStyle="1" w:styleId="bullet">
    <w:name w:val="bullet"/>
    <w:basedOn w:val="DefaultParagraphFont"/>
    <w:rsid w:val="00775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20D"/>
  </w:style>
  <w:style w:type="paragraph" w:styleId="Heading1">
    <w:name w:val="heading 1"/>
    <w:basedOn w:val="Normal"/>
    <w:next w:val="Normal"/>
    <w:link w:val="Heading1Char"/>
    <w:uiPriority w:val="9"/>
    <w:qFormat/>
    <w:rsid w:val="00FE720D"/>
    <w:pPr>
      <w:keepNext/>
      <w:autoSpaceDE w:val="0"/>
      <w:autoSpaceDN w:val="0"/>
      <w:adjustRightInd w:val="0"/>
      <w:spacing w:after="0" w:line="240" w:lineRule="auto"/>
      <w:outlineLvl w:val="0"/>
    </w:pPr>
    <w:rPr>
      <w:rFonts w:cstheme="minorHAnsi"/>
      <w:b/>
      <w:iCs/>
      <w:color w:val="000000"/>
    </w:rPr>
  </w:style>
  <w:style w:type="paragraph" w:styleId="Heading2">
    <w:name w:val="heading 2"/>
    <w:basedOn w:val="Normal"/>
    <w:next w:val="Normal"/>
    <w:link w:val="Heading2Char"/>
    <w:uiPriority w:val="9"/>
    <w:semiHidden/>
    <w:unhideWhenUsed/>
    <w:qFormat/>
    <w:rsid w:val="00FE720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9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29EC"/>
  </w:style>
  <w:style w:type="paragraph" w:styleId="Footer">
    <w:name w:val="footer"/>
    <w:basedOn w:val="Normal"/>
    <w:link w:val="FooterChar"/>
    <w:uiPriority w:val="99"/>
    <w:unhideWhenUsed/>
    <w:rsid w:val="007D29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29EC"/>
  </w:style>
  <w:style w:type="paragraph" w:styleId="ListParagraph">
    <w:name w:val="List Paragraph"/>
    <w:basedOn w:val="Normal"/>
    <w:uiPriority w:val="34"/>
    <w:qFormat/>
    <w:rsid w:val="007D29EC"/>
    <w:pPr>
      <w:ind w:left="720"/>
      <w:contextualSpacing/>
    </w:pPr>
  </w:style>
  <w:style w:type="table" w:styleId="TableGrid">
    <w:name w:val="Table Grid"/>
    <w:basedOn w:val="TableNormal"/>
    <w:uiPriority w:val="59"/>
    <w:rsid w:val="00C632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FE720D"/>
    <w:pPr>
      <w:autoSpaceDE w:val="0"/>
      <w:autoSpaceDN w:val="0"/>
      <w:adjustRightInd w:val="0"/>
      <w:spacing w:after="0" w:line="240" w:lineRule="auto"/>
      <w:jc w:val="center"/>
    </w:pPr>
    <w:rPr>
      <w:rFonts w:ascii="Calibri,Bold" w:hAnsi="Calibri,Bold" w:cs="Calibri,Bold"/>
      <w:b/>
      <w:bCs/>
      <w:color w:val="000000"/>
    </w:rPr>
  </w:style>
  <w:style w:type="character" w:customStyle="1" w:styleId="TitleChar">
    <w:name w:val="Title Char"/>
    <w:basedOn w:val="DefaultParagraphFont"/>
    <w:link w:val="Title"/>
    <w:uiPriority w:val="10"/>
    <w:rsid w:val="00FE720D"/>
    <w:rPr>
      <w:rFonts w:ascii="Calibri,Bold" w:hAnsi="Calibri,Bold" w:cs="Calibri,Bold"/>
      <w:b/>
      <w:bCs/>
      <w:color w:val="000000"/>
    </w:rPr>
  </w:style>
  <w:style w:type="character" w:customStyle="1" w:styleId="Heading1Char">
    <w:name w:val="Heading 1 Char"/>
    <w:basedOn w:val="DefaultParagraphFont"/>
    <w:link w:val="Heading1"/>
    <w:uiPriority w:val="9"/>
    <w:rsid w:val="00FE720D"/>
    <w:rPr>
      <w:rFonts w:cstheme="minorHAnsi"/>
      <w:b/>
      <w:iCs/>
      <w:color w:val="000000"/>
    </w:rPr>
  </w:style>
  <w:style w:type="paragraph" w:styleId="BodyText">
    <w:name w:val="Body Text"/>
    <w:basedOn w:val="Normal"/>
    <w:link w:val="BodyTextChar"/>
    <w:uiPriority w:val="99"/>
    <w:unhideWhenUsed/>
    <w:rsid w:val="00FE720D"/>
    <w:pPr>
      <w:autoSpaceDE w:val="0"/>
      <w:autoSpaceDN w:val="0"/>
      <w:adjustRightInd w:val="0"/>
      <w:spacing w:after="0" w:line="240" w:lineRule="auto"/>
      <w:jc w:val="center"/>
    </w:pPr>
    <w:rPr>
      <w:rFonts w:ascii="Calibri" w:hAnsi="Calibri" w:cs="Calibri"/>
      <w:color w:val="000000"/>
    </w:rPr>
  </w:style>
  <w:style w:type="character" w:customStyle="1" w:styleId="BodyTextChar">
    <w:name w:val="Body Text Char"/>
    <w:basedOn w:val="DefaultParagraphFont"/>
    <w:link w:val="BodyText"/>
    <w:uiPriority w:val="99"/>
    <w:rsid w:val="00FE720D"/>
    <w:rPr>
      <w:rFonts w:ascii="Calibri" w:hAnsi="Calibri" w:cs="Calibri"/>
      <w:color w:val="000000"/>
    </w:rPr>
  </w:style>
  <w:style w:type="character" w:styleId="CommentReference">
    <w:name w:val="annotation reference"/>
    <w:basedOn w:val="DefaultParagraphFont"/>
    <w:uiPriority w:val="99"/>
    <w:semiHidden/>
    <w:unhideWhenUsed/>
    <w:rsid w:val="00FE720D"/>
    <w:rPr>
      <w:sz w:val="16"/>
      <w:szCs w:val="16"/>
    </w:rPr>
  </w:style>
  <w:style w:type="paragraph" w:styleId="CommentText">
    <w:name w:val="annotation text"/>
    <w:basedOn w:val="Normal"/>
    <w:link w:val="CommentTextChar"/>
    <w:uiPriority w:val="99"/>
    <w:semiHidden/>
    <w:unhideWhenUsed/>
    <w:rsid w:val="00FE720D"/>
    <w:pPr>
      <w:spacing w:line="240" w:lineRule="auto"/>
    </w:pPr>
    <w:rPr>
      <w:sz w:val="20"/>
      <w:szCs w:val="20"/>
    </w:rPr>
  </w:style>
  <w:style w:type="character" w:customStyle="1" w:styleId="CommentTextChar">
    <w:name w:val="Comment Text Char"/>
    <w:basedOn w:val="DefaultParagraphFont"/>
    <w:link w:val="CommentText"/>
    <w:uiPriority w:val="99"/>
    <w:semiHidden/>
    <w:rsid w:val="00FE720D"/>
    <w:rPr>
      <w:sz w:val="20"/>
      <w:szCs w:val="20"/>
    </w:rPr>
  </w:style>
  <w:style w:type="paragraph" w:styleId="CommentSubject">
    <w:name w:val="annotation subject"/>
    <w:basedOn w:val="CommentText"/>
    <w:next w:val="CommentText"/>
    <w:link w:val="CommentSubjectChar"/>
    <w:uiPriority w:val="99"/>
    <w:semiHidden/>
    <w:unhideWhenUsed/>
    <w:rsid w:val="00FE720D"/>
    <w:rPr>
      <w:b/>
      <w:bCs/>
    </w:rPr>
  </w:style>
  <w:style w:type="character" w:customStyle="1" w:styleId="CommentSubjectChar">
    <w:name w:val="Comment Subject Char"/>
    <w:basedOn w:val="CommentTextChar"/>
    <w:link w:val="CommentSubject"/>
    <w:uiPriority w:val="99"/>
    <w:semiHidden/>
    <w:rsid w:val="00FE720D"/>
    <w:rPr>
      <w:b/>
      <w:bCs/>
      <w:sz w:val="20"/>
      <w:szCs w:val="20"/>
    </w:rPr>
  </w:style>
  <w:style w:type="paragraph" w:styleId="BalloonText">
    <w:name w:val="Balloon Text"/>
    <w:basedOn w:val="Normal"/>
    <w:link w:val="BalloonTextChar"/>
    <w:uiPriority w:val="99"/>
    <w:semiHidden/>
    <w:unhideWhenUsed/>
    <w:rsid w:val="00FE7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20D"/>
    <w:rPr>
      <w:rFonts w:ascii="Tahoma" w:hAnsi="Tahoma" w:cs="Tahoma"/>
      <w:sz w:val="16"/>
      <w:szCs w:val="16"/>
    </w:rPr>
  </w:style>
  <w:style w:type="character" w:customStyle="1" w:styleId="Heading2Char">
    <w:name w:val="Heading 2 Char"/>
    <w:basedOn w:val="DefaultParagraphFont"/>
    <w:link w:val="Heading2"/>
    <w:uiPriority w:val="9"/>
    <w:semiHidden/>
    <w:rsid w:val="00FE720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FE720D"/>
    <w:pPr>
      <w:spacing w:after="120"/>
      <w:ind w:left="283"/>
    </w:pPr>
  </w:style>
  <w:style w:type="character" w:customStyle="1" w:styleId="BodyTextIndentChar">
    <w:name w:val="Body Text Indent Char"/>
    <w:basedOn w:val="DefaultParagraphFont"/>
    <w:link w:val="BodyTextIndent"/>
    <w:uiPriority w:val="99"/>
    <w:semiHidden/>
    <w:rsid w:val="00FE720D"/>
  </w:style>
  <w:style w:type="paragraph" w:styleId="BodyText2">
    <w:name w:val="Body Text 2"/>
    <w:basedOn w:val="Normal"/>
    <w:link w:val="BodyText2Char"/>
    <w:uiPriority w:val="99"/>
    <w:unhideWhenUsed/>
    <w:rsid w:val="00FE720D"/>
    <w:rPr>
      <w:color w:val="FF0000"/>
    </w:rPr>
  </w:style>
  <w:style w:type="character" w:customStyle="1" w:styleId="BodyText2Char">
    <w:name w:val="Body Text 2 Char"/>
    <w:basedOn w:val="DefaultParagraphFont"/>
    <w:link w:val="BodyText2"/>
    <w:uiPriority w:val="99"/>
    <w:rsid w:val="00FE720D"/>
    <w:rPr>
      <w:color w:val="FF0000"/>
    </w:rPr>
  </w:style>
  <w:style w:type="paragraph" w:styleId="NormalWeb">
    <w:name w:val="Normal (Web)"/>
    <w:basedOn w:val="Normal"/>
    <w:uiPriority w:val="99"/>
    <w:unhideWhenUsed/>
    <w:rsid w:val="00FE720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FE720D"/>
    <w:pPr>
      <w:autoSpaceDE w:val="0"/>
      <w:autoSpaceDN w:val="0"/>
      <w:adjustRightInd w:val="0"/>
      <w:spacing w:after="0" w:line="240" w:lineRule="auto"/>
    </w:pPr>
    <w:rPr>
      <w:rFonts w:ascii="Calibri,Bold" w:hAnsi="Calibri,Bold" w:cs="Calibri,Bold"/>
      <w:bCs/>
      <w:color w:val="000000"/>
    </w:rPr>
  </w:style>
  <w:style w:type="character" w:customStyle="1" w:styleId="BodyText3Char">
    <w:name w:val="Body Text 3 Char"/>
    <w:basedOn w:val="DefaultParagraphFont"/>
    <w:link w:val="BodyText3"/>
    <w:uiPriority w:val="99"/>
    <w:rsid w:val="00FE720D"/>
    <w:rPr>
      <w:rFonts w:ascii="Calibri,Bold" w:hAnsi="Calibri,Bold" w:cs="Calibri,Bold"/>
      <w:bCs/>
      <w:color w:val="000000"/>
    </w:rPr>
  </w:style>
  <w:style w:type="character" w:styleId="Hyperlink">
    <w:name w:val="Hyperlink"/>
    <w:basedOn w:val="DefaultParagraphFont"/>
    <w:uiPriority w:val="99"/>
    <w:unhideWhenUsed/>
    <w:rsid w:val="00ED2A85"/>
    <w:rPr>
      <w:color w:val="0000FF" w:themeColor="hyperlink"/>
      <w:u w:val="single"/>
    </w:rPr>
  </w:style>
  <w:style w:type="character" w:customStyle="1" w:styleId="apple-converted-space">
    <w:name w:val="apple-converted-space"/>
    <w:basedOn w:val="DefaultParagraphFont"/>
    <w:rsid w:val="00BD6DB1"/>
  </w:style>
  <w:style w:type="character" w:styleId="Emphasis">
    <w:name w:val="Emphasis"/>
    <w:basedOn w:val="DefaultParagraphFont"/>
    <w:uiPriority w:val="20"/>
    <w:qFormat/>
    <w:rsid w:val="00BD6DB1"/>
    <w:rPr>
      <w:i/>
      <w:iCs/>
    </w:rPr>
  </w:style>
  <w:style w:type="character" w:customStyle="1" w:styleId="mi">
    <w:name w:val="mi"/>
    <w:basedOn w:val="DefaultParagraphFont"/>
    <w:rsid w:val="00BD6DB1"/>
  </w:style>
  <w:style w:type="character" w:customStyle="1" w:styleId="mo">
    <w:name w:val="mo"/>
    <w:basedOn w:val="DefaultParagraphFont"/>
    <w:rsid w:val="00BD6DB1"/>
  </w:style>
  <w:style w:type="character" w:customStyle="1" w:styleId="mn">
    <w:name w:val="mn"/>
    <w:basedOn w:val="DefaultParagraphFont"/>
    <w:rsid w:val="00BD6DB1"/>
  </w:style>
  <w:style w:type="paragraph" w:styleId="Caption">
    <w:name w:val="caption"/>
    <w:basedOn w:val="Normal"/>
    <w:next w:val="Normal"/>
    <w:uiPriority w:val="35"/>
    <w:unhideWhenUsed/>
    <w:qFormat/>
    <w:rsid w:val="000F3A56"/>
    <w:pPr>
      <w:spacing w:line="240" w:lineRule="auto"/>
    </w:pPr>
    <w:rPr>
      <w:b/>
      <w:bCs/>
      <w:color w:val="4F81BD" w:themeColor="accent1"/>
      <w:sz w:val="18"/>
      <w:szCs w:val="18"/>
    </w:rPr>
  </w:style>
  <w:style w:type="character" w:customStyle="1" w:styleId="mtext">
    <w:name w:val="mtext"/>
    <w:basedOn w:val="DefaultParagraphFont"/>
    <w:rsid w:val="003D7A5D"/>
  </w:style>
  <w:style w:type="character" w:styleId="HTMLCite">
    <w:name w:val="HTML Cite"/>
    <w:basedOn w:val="DefaultParagraphFont"/>
    <w:uiPriority w:val="99"/>
    <w:semiHidden/>
    <w:unhideWhenUsed/>
    <w:rsid w:val="00775708"/>
    <w:rPr>
      <w:i/>
      <w:iCs/>
    </w:rPr>
  </w:style>
  <w:style w:type="character" w:customStyle="1" w:styleId="author">
    <w:name w:val="author"/>
    <w:basedOn w:val="DefaultParagraphFont"/>
    <w:rsid w:val="00775708"/>
  </w:style>
  <w:style w:type="character" w:customStyle="1" w:styleId="articletitle">
    <w:name w:val="articletitle"/>
    <w:basedOn w:val="DefaultParagraphFont"/>
    <w:rsid w:val="00775708"/>
  </w:style>
  <w:style w:type="character" w:customStyle="1" w:styleId="journaltitle">
    <w:name w:val="journaltitle"/>
    <w:basedOn w:val="DefaultParagraphFont"/>
    <w:rsid w:val="00775708"/>
  </w:style>
  <w:style w:type="character" w:customStyle="1" w:styleId="pubyear">
    <w:name w:val="pubyear"/>
    <w:basedOn w:val="DefaultParagraphFont"/>
    <w:rsid w:val="00775708"/>
  </w:style>
  <w:style w:type="character" w:customStyle="1" w:styleId="vol">
    <w:name w:val="vol"/>
    <w:basedOn w:val="DefaultParagraphFont"/>
    <w:rsid w:val="00775708"/>
  </w:style>
  <w:style w:type="character" w:customStyle="1" w:styleId="pagefirst">
    <w:name w:val="pagefirst"/>
    <w:basedOn w:val="DefaultParagraphFont"/>
    <w:rsid w:val="00775708"/>
  </w:style>
  <w:style w:type="character" w:customStyle="1" w:styleId="pagelast">
    <w:name w:val="pagelast"/>
    <w:basedOn w:val="DefaultParagraphFont"/>
    <w:rsid w:val="00775708"/>
  </w:style>
  <w:style w:type="character" w:customStyle="1" w:styleId="bullet">
    <w:name w:val="bullet"/>
    <w:basedOn w:val="DefaultParagraphFont"/>
    <w:rsid w:val="0077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845886">
      <w:bodyDiv w:val="1"/>
      <w:marLeft w:val="0"/>
      <w:marRight w:val="0"/>
      <w:marTop w:val="0"/>
      <w:marBottom w:val="0"/>
      <w:divBdr>
        <w:top w:val="none" w:sz="0" w:space="0" w:color="auto"/>
        <w:left w:val="none" w:sz="0" w:space="0" w:color="auto"/>
        <w:bottom w:val="none" w:sz="0" w:space="0" w:color="auto"/>
        <w:right w:val="none" w:sz="0" w:space="0" w:color="auto"/>
      </w:divBdr>
    </w:div>
    <w:div w:id="476188396">
      <w:bodyDiv w:val="1"/>
      <w:marLeft w:val="0"/>
      <w:marRight w:val="0"/>
      <w:marTop w:val="0"/>
      <w:marBottom w:val="0"/>
      <w:divBdr>
        <w:top w:val="none" w:sz="0" w:space="0" w:color="auto"/>
        <w:left w:val="none" w:sz="0" w:space="0" w:color="auto"/>
        <w:bottom w:val="none" w:sz="0" w:space="0" w:color="auto"/>
        <w:right w:val="none" w:sz="0" w:space="0" w:color="auto"/>
      </w:divBdr>
    </w:div>
    <w:div w:id="1023434721">
      <w:bodyDiv w:val="1"/>
      <w:marLeft w:val="0"/>
      <w:marRight w:val="0"/>
      <w:marTop w:val="0"/>
      <w:marBottom w:val="0"/>
      <w:divBdr>
        <w:top w:val="none" w:sz="0" w:space="0" w:color="auto"/>
        <w:left w:val="none" w:sz="0" w:space="0" w:color="auto"/>
        <w:bottom w:val="none" w:sz="0" w:space="0" w:color="auto"/>
        <w:right w:val="none" w:sz="0" w:space="0" w:color="auto"/>
      </w:divBdr>
      <w:divsChild>
        <w:div w:id="245463764">
          <w:marLeft w:val="0"/>
          <w:marRight w:val="0"/>
          <w:marTop w:val="332"/>
          <w:marBottom w:val="332"/>
          <w:divBdr>
            <w:top w:val="none" w:sz="0" w:space="0" w:color="auto"/>
            <w:left w:val="none" w:sz="0" w:space="0" w:color="auto"/>
            <w:bottom w:val="none" w:sz="0" w:space="0" w:color="auto"/>
            <w:right w:val="none" w:sz="0" w:space="0" w:color="auto"/>
          </w:divBdr>
          <w:divsChild>
            <w:div w:id="202159020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99065095">
      <w:bodyDiv w:val="1"/>
      <w:marLeft w:val="0"/>
      <w:marRight w:val="0"/>
      <w:marTop w:val="0"/>
      <w:marBottom w:val="0"/>
      <w:divBdr>
        <w:top w:val="none" w:sz="0" w:space="0" w:color="auto"/>
        <w:left w:val="none" w:sz="0" w:space="0" w:color="auto"/>
        <w:bottom w:val="none" w:sz="0" w:space="0" w:color="auto"/>
        <w:right w:val="none" w:sz="0" w:space="0" w:color="auto"/>
      </w:divBdr>
      <w:divsChild>
        <w:div w:id="358438656">
          <w:marLeft w:val="0"/>
          <w:marRight w:val="0"/>
          <w:marTop w:val="0"/>
          <w:marBottom w:val="0"/>
          <w:divBdr>
            <w:top w:val="none" w:sz="0" w:space="0" w:color="auto"/>
            <w:left w:val="none" w:sz="0" w:space="0" w:color="auto"/>
            <w:bottom w:val="none" w:sz="0" w:space="0" w:color="auto"/>
            <w:right w:val="none" w:sz="0" w:space="0" w:color="auto"/>
          </w:divBdr>
          <w:divsChild>
            <w:div w:id="783842413">
              <w:marLeft w:val="0"/>
              <w:marRight w:val="0"/>
              <w:marTop w:val="0"/>
              <w:marBottom w:val="0"/>
              <w:divBdr>
                <w:top w:val="none" w:sz="0" w:space="0" w:color="auto"/>
                <w:left w:val="none" w:sz="0" w:space="0" w:color="auto"/>
                <w:bottom w:val="none" w:sz="0" w:space="0" w:color="auto"/>
                <w:right w:val="none" w:sz="0" w:space="0" w:color="auto"/>
              </w:divBdr>
              <w:divsChild>
                <w:div w:id="1706053909">
                  <w:marLeft w:val="0"/>
                  <w:marRight w:val="0"/>
                  <w:marTop w:val="0"/>
                  <w:marBottom w:val="0"/>
                  <w:divBdr>
                    <w:top w:val="none" w:sz="0" w:space="0" w:color="auto"/>
                    <w:left w:val="none" w:sz="0" w:space="0" w:color="auto"/>
                    <w:bottom w:val="none" w:sz="0" w:space="0" w:color="auto"/>
                    <w:right w:val="none" w:sz="0" w:space="0" w:color="auto"/>
                  </w:divBdr>
                  <w:divsChild>
                    <w:div w:id="563032744">
                      <w:marLeft w:val="0"/>
                      <w:marRight w:val="0"/>
                      <w:marTop w:val="0"/>
                      <w:marBottom w:val="0"/>
                      <w:divBdr>
                        <w:top w:val="none" w:sz="0" w:space="0" w:color="auto"/>
                        <w:left w:val="none" w:sz="0" w:space="0" w:color="auto"/>
                        <w:bottom w:val="none" w:sz="0" w:space="0" w:color="auto"/>
                        <w:right w:val="none" w:sz="0" w:space="0" w:color="auto"/>
                      </w:divBdr>
                      <w:divsChild>
                        <w:div w:id="1416901917">
                          <w:marLeft w:val="0"/>
                          <w:marRight w:val="0"/>
                          <w:marTop w:val="0"/>
                          <w:marBottom w:val="0"/>
                          <w:divBdr>
                            <w:top w:val="none" w:sz="0" w:space="0" w:color="auto"/>
                            <w:left w:val="none" w:sz="0" w:space="0" w:color="auto"/>
                            <w:bottom w:val="none" w:sz="0" w:space="0" w:color="auto"/>
                            <w:right w:val="none" w:sz="0" w:space="0" w:color="auto"/>
                          </w:divBdr>
                          <w:divsChild>
                            <w:div w:id="12782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768371">
      <w:bodyDiv w:val="1"/>
      <w:marLeft w:val="0"/>
      <w:marRight w:val="0"/>
      <w:marTop w:val="0"/>
      <w:marBottom w:val="0"/>
      <w:divBdr>
        <w:top w:val="none" w:sz="0" w:space="0" w:color="auto"/>
        <w:left w:val="none" w:sz="0" w:space="0" w:color="auto"/>
        <w:bottom w:val="none" w:sz="0" w:space="0" w:color="auto"/>
        <w:right w:val="none" w:sz="0" w:space="0" w:color="auto"/>
      </w:divBdr>
    </w:div>
    <w:div w:id="1966278145">
      <w:bodyDiv w:val="1"/>
      <w:marLeft w:val="0"/>
      <w:marRight w:val="0"/>
      <w:marTop w:val="0"/>
      <w:marBottom w:val="0"/>
      <w:divBdr>
        <w:top w:val="none" w:sz="0" w:space="0" w:color="auto"/>
        <w:left w:val="none" w:sz="0" w:space="0" w:color="auto"/>
        <w:bottom w:val="none" w:sz="0" w:space="0" w:color="auto"/>
        <w:right w:val="none" w:sz="0" w:space="0" w:color="auto"/>
      </w:divBdr>
    </w:div>
    <w:div w:id="2017996258">
      <w:bodyDiv w:val="1"/>
      <w:marLeft w:val="0"/>
      <w:marRight w:val="0"/>
      <w:marTop w:val="0"/>
      <w:marBottom w:val="0"/>
      <w:divBdr>
        <w:top w:val="none" w:sz="0" w:space="0" w:color="auto"/>
        <w:left w:val="none" w:sz="0" w:space="0" w:color="auto"/>
        <w:bottom w:val="none" w:sz="0" w:space="0" w:color="auto"/>
        <w:right w:val="none" w:sz="0" w:space="0" w:color="auto"/>
      </w:divBdr>
      <w:divsChild>
        <w:div w:id="1019358498">
          <w:marLeft w:val="0"/>
          <w:marRight w:val="0"/>
          <w:marTop w:val="332"/>
          <w:marBottom w:val="332"/>
          <w:divBdr>
            <w:top w:val="none" w:sz="0" w:space="0" w:color="auto"/>
            <w:left w:val="none" w:sz="0" w:space="0" w:color="auto"/>
            <w:bottom w:val="none" w:sz="0" w:space="0" w:color="auto"/>
            <w:right w:val="none" w:sz="0" w:space="0" w:color="auto"/>
          </w:divBdr>
          <w:divsChild>
            <w:div w:id="1257767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nhmrc.gov.au/_files_nhmrc/publications/attachments/e72_national_statement_may_2015_150514_a.pdf"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72F894B70719B4FA4B3A05D223193CC" ma:contentTypeVersion="3" ma:contentTypeDescription="Create a new document." ma:contentTypeScope="" ma:versionID="3e9bf46d304126d913cad2d3e12b8c34">
  <xsd:schema xmlns:xsd="http://www.w3.org/2001/XMLSchema" xmlns:xs="http://www.w3.org/2001/XMLSchema" xmlns:p="http://schemas.microsoft.com/office/2006/metadata/properties" xmlns:ns1="http://schemas.microsoft.com/sharepoint/v3" xmlns:ns2="f1a0ef22-306c-424f-bf68-eac329579b77" targetNamespace="http://schemas.microsoft.com/office/2006/metadata/properties" ma:root="true" ma:fieldsID="6f0dfd2ac1784748a2065bdb1ac24633" ns1:_="" ns2:_="">
    <xsd:import namespace="http://schemas.microsoft.com/sharepoint/v3"/>
    <xsd:import namespace="f1a0ef22-306c-424f-bf68-eac329579b7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2:n3404de0ad1e4f29b83e6a8a251900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0ef22-306c-424f-bf68-eac329579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a8e5c75-2bfe-42ad-a90c-4f1068b7e3d4}" ma:internalName="TaxCatchAll" ma:showField="CatchAllData"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8e5c75-2bfe-42ad-a90c-4f1068b7e3d4}" ma:internalName="TaxCatchAllLabel" ma:readOnly="true" ma:showField="CatchAllDataLabel"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n3404de0ad1e4f29b83e6a8a25190075" ma:index="16" ma:taxonomy="true" ma:internalName="n3404de0ad1e4f29b83e6a8a25190075" ma:taxonomyFieldName="Metadata" ma:displayName="Metadata" ma:default="" ma:fieldId="{73404de0-ad1e-4f29-b83e-6a8a25190075}" ma:taxonomyMulti="true" ma:sspId="d3c3da6f-a892-45fc-b52c-f7b62dbb76f2" ma:termSetId="3ffcf60c-1c84-4029-8a33-4a4ea65131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3404de0ad1e4f29b83e6a8a25190075 xmlns="f1a0ef22-306c-424f-bf68-eac329579b7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266e79c7-cf41-434a-bb4c-0177270df76d</TermId>
        </TermInfo>
      </Terms>
    </n3404de0ad1e4f29b83e6a8a25190075>
    <PublishingExpirationDate xmlns="http://schemas.microsoft.com/sharepoint/v3" xsi:nil="true"/>
    <PublishingStartDate xmlns="http://schemas.microsoft.com/sharepoint/v3" xsi:nil="true"/>
    <TaxCatchAll xmlns="f1a0ef22-306c-424f-bf68-eac329579b77">
      <Value>60</Value>
    </TaxCatchAll>
    <_dlc_DocId xmlns="f1a0ef22-306c-424f-bf68-eac329579b77">X6Q3XT5NHC5W-171-137</_dlc_DocId>
    <_dlc_DocIdUrl xmlns="f1a0ef22-306c-424f-bf68-eac329579b77">
      <Url>http://internet.nslhd.health.nsw.gov.au/AboutUs/Research/Office/_layouts/15/DocIdRedir.aspx?ID=X6Q3XT5NHC5W-171-137</Url>
      <Description>X6Q3XT5NHC5W-171-137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95942-F870-42B7-A942-D3CC76691C76}">
  <ds:schemaRefs>
    <ds:schemaRef ds:uri="http://schemas.microsoft.com/sharepoint/events"/>
  </ds:schemaRefs>
</ds:datastoreItem>
</file>

<file path=customXml/itemProps2.xml><?xml version="1.0" encoding="utf-8"?>
<ds:datastoreItem xmlns:ds="http://schemas.openxmlformats.org/officeDocument/2006/customXml" ds:itemID="{11DF3A5B-C9BA-4F6A-B855-0534F08A7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0ef22-306c-424f-bf68-eac32957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F1E3EE-5DBB-48B4-A89A-CDD83FFFAA5B}">
  <ds:schemaRefs>
    <ds:schemaRef ds:uri="http://schemas.microsoft.com/office/2006/metadata/properties"/>
    <ds:schemaRef ds:uri="http://schemas.microsoft.com/office/infopath/2007/PartnerControls"/>
    <ds:schemaRef ds:uri="f1a0ef22-306c-424f-bf68-eac329579b77"/>
    <ds:schemaRef ds:uri="http://schemas.microsoft.com/sharepoint/v3"/>
  </ds:schemaRefs>
</ds:datastoreItem>
</file>

<file path=customXml/itemProps4.xml><?xml version="1.0" encoding="utf-8"?>
<ds:datastoreItem xmlns:ds="http://schemas.openxmlformats.org/officeDocument/2006/customXml" ds:itemID="{D34DF000-A15D-4529-875B-ECBCFDB34473}">
  <ds:schemaRefs>
    <ds:schemaRef ds:uri="http://schemas.microsoft.com/sharepoint/v3/contenttype/forms"/>
  </ds:schemaRefs>
</ds:datastoreItem>
</file>

<file path=customXml/itemProps5.xml><?xml version="1.0" encoding="utf-8"?>
<ds:datastoreItem xmlns:ds="http://schemas.openxmlformats.org/officeDocument/2006/customXml" ds:itemID="{E2B9818A-DAC2-4C54-AE11-98990360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4098</Words>
  <Characters>23361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NSCCH</Company>
  <LinksUpToDate>false</LinksUpToDate>
  <CharactersWithSpaces>27405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IM&amp;T</dc:creator>
  <cp:lastModifiedBy>IM&amp;T</cp:lastModifiedBy>
  <cp:revision>2</cp:revision>
  <cp:lastPrinted>2017-05-05T02:25:00Z</cp:lastPrinted>
  <dcterms:created xsi:type="dcterms:W3CDTF">2017-05-23T06:09:00Z</dcterms:created>
  <dcterms:modified xsi:type="dcterms:W3CDTF">2017-05-23T06:09:00Z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0x010100F72F894B70719B4FA4B3A05D223193CC</vt:lpwstr>
  </property>
  <property fmtid="{D5CDD505-2E9C-101B-9397-08002B2CF9AE}" pid="3" name="_dlc_DocIdItemGuid">
    <vt:lpwstr>0e7448f4-67fa-425a-a5e0-96c56a69b072</vt:lpwstr>
  </property>
  <property fmtid="{D5CDD505-2E9C-101B-9397-08002B2CF9AE}" pid="4" name="Metadata">
    <vt:lpwstr>60;#Research|266e79c7-cf41-434a-bb4c-0177270df76d</vt:lpwstr>
  </property>
</Properties>
</file>